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6C3F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lang w:val="ru-RU"/>
        </w:rPr>
      </w:pPr>
    </w:p>
    <w:p w14:paraId="737E7CAF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lang w:val="ru-RU"/>
        </w:rPr>
      </w:pPr>
    </w:p>
    <w:p w14:paraId="56823092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A0701B">
        <w:rPr>
          <w:b/>
          <w:bCs/>
          <w:color w:val="000000"/>
          <w:lang w:val="ru-RU"/>
        </w:rPr>
        <w:t>ЦЕНТРАЛЬНЫЙ БАНК Р</w:t>
      </w:r>
      <w:bookmarkStart w:id="0" w:name="_GoBack"/>
      <w:bookmarkEnd w:id="0"/>
      <w:r w:rsidRPr="00A0701B">
        <w:rPr>
          <w:b/>
          <w:bCs/>
          <w:color w:val="000000"/>
          <w:lang w:val="ru-RU"/>
        </w:rPr>
        <w:t>ОССИЙСКОЙ ФЕДЕРАЦИИ</w:t>
      </w:r>
    </w:p>
    <w:p w14:paraId="5B8E3990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A0701B">
        <w:rPr>
          <w:b/>
          <w:bCs/>
          <w:color w:val="000000"/>
          <w:lang w:val="ru-RU"/>
        </w:rPr>
        <w:t>(БАНК РОССИИ)</w:t>
      </w:r>
    </w:p>
    <w:p w14:paraId="7A43320F" w14:textId="77777777" w:rsidR="00F36D24" w:rsidRPr="00A0701B" w:rsidRDefault="00F36D24" w:rsidP="00DA5990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E4671A" w14:textId="77777777" w:rsidR="00F36D24" w:rsidRPr="00A0701B" w:rsidRDefault="00F36D24" w:rsidP="00DA5990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5441D0" w14:textId="77777777" w:rsidR="00F36D24" w:rsidRPr="00A0701B" w:rsidRDefault="00F36D24" w:rsidP="00DA5990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6D9BA9" w14:textId="77777777" w:rsidR="00F36D24" w:rsidRPr="00A0701B" w:rsidRDefault="00F36D24" w:rsidP="00DA5990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F966BB" w14:textId="14459C89" w:rsidR="00F36D24" w:rsidRPr="00A0701B" w:rsidRDefault="00A0701B" w:rsidP="00DA5990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b/>
          <w:sz w:val="24"/>
          <w:szCs w:val="24"/>
          <w:lang w:val="ru-RU"/>
        </w:rPr>
        <w:t>МЕТОДОЛОГИЯ РАСЧЕТА ТРЕБОВАНИЙ К КАПИТАЛУ ПО РИСКУ ПРЕМИЙ И РЕЗЕРВОВ</w:t>
      </w:r>
    </w:p>
    <w:p w14:paraId="5FE6E095" w14:textId="77777777" w:rsidR="006A604E" w:rsidRPr="00A0701B" w:rsidRDefault="006A604E" w:rsidP="00DA59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42AD5D" w14:textId="1A984CB6" w:rsidR="00F36D24" w:rsidRPr="00A0701B" w:rsidRDefault="00A0701B" w:rsidP="00DA5990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ЗАПРОС ДАННЫХ ДЛЯ КАЛИБРОВКИ СТРАХОВОГО РИСКА (КРОМЕ КАТАСТРОФИЧЕСКОГО) </w:t>
      </w:r>
    </w:p>
    <w:p w14:paraId="14019E95" w14:textId="71598B55" w:rsidR="00F36D24" w:rsidRPr="00A0701B" w:rsidRDefault="00A0701B" w:rsidP="00DA5990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b/>
          <w:sz w:val="24"/>
          <w:szCs w:val="24"/>
          <w:lang w:val="ru-RU"/>
        </w:rPr>
        <w:t>ПО СТРАХОВАНИЮ ИНОМУ, ЧЕМ СТРАХОВАНИЕ ЖИЗНИ</w:t>
      </w:r>
    </w:p>
    <w:p w14:paraId="1D2D6CC8" w14:textId="77777777" w:rsidR="00F36D24" w:rsidRPr="00A0701B" w:rsidRDefault="00F36D24" w:rsidP="00DA5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B30666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A0701B">
        <w:rPr>
          <w:b/>
          <w:bCs/>
          <w:color w:val="000000"/>
          <w:lang w:val="ru-RU"/>
        </w:rPr>
        <w:t xml:space="preserve">в рамках реализации </w:t>
      </w:r>
    </w:p>
    <w:p w14:paraId="59097DC6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A0701B">
        <w:rPr>
          <w:b/>
          <w:bCs/>
          <w:color w:val="000000"/>
          <w:lang w:val="ru-RU"/>
        </w:rPr>
        <w:t xml:space="preserve">КОНЦЕПЦИИ ПО ВНЕДРЕНИЮ </w:t>
      </w:r>
    </w:p>
    <w:p w14:paraId="5C2B058C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A0701B">
        <w:rPr>
          <w:b/>
          <w:bCs/>
          <w:color w:val="000000"/>
          <w:lang w:val="ru-RU"/>
        </w:rPr>
        <w:t>РИСК-ОРИЕНТИРОВАННОГО ПОДХОДА</w:t>
      </w:r>
    </w:p>
    <w:p w14:paraId="7980A5EC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lang w:val="ru-RU"/>
        </w:rPr>
      </w:pPr>
      <w:r w:rsidRPr="00A0701B">
        <w:rPr>
          <w:b/>
          <w:bCs/>
          <w:color w:val="000000"/>
          <w:lang w:val="ru-RU"/>
        </w:rPr>
        <w:t>К</w:t>
      </w:r>
      <w:r w:rsidRPr="00A0701B">
        <w:rPr>
          <w:b/>
          <w:bCs/>
          <w:color w:val="000000"/>
        </w:rPr>
        <w:t> </w:t>
      </w:r>
      <w:r w:rsidRPr="00A0701B">
        <w:rPr>
          <w:b/>
          <w:bCs/>
          <w:color w:val="000000"/>
          <w:lang w:val="ru-RU"/>
        </w:rPr>
        <w:t>РЕГУЛИРОВАНИЮ СТРАХОВОГО СЕКТОРА</w:t>
      </w:r>
    </w:p>
    <w:p w14:paraId="576A354F" w14:textId="77777777" w:rsidR="00F36D24" w:rsidRPr="00A0701B" w:rsidRDefault="00F36D24" w:rsidP="00DA5990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lang w:val="ru-RU"/>
        </w:rPr>
      </w:pPr>
      <w:r w:rsidRPr="00A0701B">
        <w:rPr>
          <w:b/>
          <w:bCs/>
          <w:color w:val="000000"/>
          <w:lang w:val="ru-RU"/>
        </w:rPr>
        <w:t>В</w:t>
      </w:r>
      <w:r w:rsidRPr="00A0701B">
        <w:rPr>
          <w:b/>
          <w:bCs/>
          <w:color w:val="000000"/>
        </w:rPr>
        <w:t> </w:t>
      </w:r>
      <w:r w:rsidRPr="00A0701B">
        <w:rPr>
          <w:b/>
          <w:bCs/>
          <w:color w:val="000000"/>
          <w:lang w:val="ru-RU"/>
        </w:rPr>
        <w:t>РОССИЙСКОЙ ФЕДЕРАЦИИ</w:t>
      </w:r>
    </w:p>
    <w:p w14:paraId="208C0B2A" w14:textId="77777777" w:rsidR="00945825" w:rsidRPr="00A0701B" w:rsidRDefault="00F36D24" w:rsidP="00DA599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sz w:val="24"/>
          <w:szCs w:val="24"/>
        </w:rPr>
        <w:id w:val="118787238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9DC03E1" w14:textId="3E93F4D3" w:rsidR="00A47A19" w:rsidRPr="00262974" w:rsidRDefault="00A47A19" w:rsidP="00DA5990">
          <w:pPr>
            <w:pStyle w:val="TOCHeading"/>
            <w:spacing w:line="360" w:lineRule="auto"/>
            <w:jc w:val="center"/>
            <w:rPr>
              <w:rFonts w:cs="Times New Roman"/>
              <w:sz w:val="24"/>
              <w:szCs w:val="24"/>
              <w:lang w:val="ru-RU"/>
            </w:rPr>
          </w:pPr>
          <w:r w:rsidRPr="00262974">
            <w:rPr>
              <w:rFonts w:cs="Times New Roman"/>
              <w:sz w:val="24"/>
              <w:szCs w:val="24"/>
              <w:lang w:val="ru-RU"/>
            </w:rPr>
            <w:t>Содержание</w:t>
          </w:r>
        </w:p>
        <w:p w14:paraId="0DBD3D97" w14:textId="6402ECF5" w:rsidR="00262974" w:rsidRPr="00262974" w:rsidRDefault="00B13FE2">
          <w:pPr>
            <w:pStyle w:val="TOC1"/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r w:rsidRPr="00262974">
            <w:rPr>
              <w:rFonts w:cs="Times New Roman"/>
              <w:b/>
              <w:bCs/>
              <w:noProof/>
              <w:sz w:val="24"/>
              <w:szCs w:val="24"/>
            </w:rPr>
            <w:fldChar w:fldCharType="begin"/>
          </w:r>
          <w:r w:rsidRPr="00262974">
            <w:rPr>
              <w:rFonts w:cs="Times New Roman"/>
              <w:b/>
              <w:bCs/>
              <w:noProof/>
              <w:sz w:val="24"/>
              <w:szCs w:val="24"/>
            </w:rPr>
            <w:instrText xml:space="preserve"> TOC \o "1-1" \h \z \u </w:instrText>
          </w:r>
          <w:r w:rsidRPr="00262974">
            <w:rPr>
              <w:rFonts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528078441" w:history="1">
            <w:r w:rsidR="00262974" w:rsidRPr="00262974">
              <w:rPr>
                <w:rStyle w:val="Hyperlink"/>
                <w:rFonts w:cs="Times New Roman"/>
                <w:noProof/>
                <w:sz w:val="24"/>
                <w:szCs w:val="24"/>
                <w:lang w:val="ru-RU"/>
              </w:rPr>
              <w:t>Общее описание методологии</w:t>
            </w:r>
            <w:r w:rsidR="00262974" w:rsidRPr="00262974">
              <w:rPr>
                <w:noProof/>
                <w:webHidden/>
                <w:sz w:val="24"/>
                <w:szCs w:val="24"/>
              </w:rPr>
              <w:tab/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begin"/>
            </w:r>
            <w:r w:rsidR="00262974" w:rsidRPr="00262974">
              <w:rPr>
                <w:noProof/>
                <w:webHidden/>
                <w:sz w:val="24"/>
                <w:szCs w:val="24"/>
              </w:rPr>
              <w:instrText xml:space="preserve"> PAGEREF _Toc528078441 \h </w:instrText>
            </w:r>
            <w:r w:rsidR="00262974" w:rsidRPr="00262974">
              <w:rPr>
                <w:noProof/>
                <w:webHidden/>
                <w:sz w:val="24"/>
                <w:szCs w:val="24"/>
              </w:rPr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2974" w:rsidRPr="00262974">
              <w:rPr>
                <w:noProof/>
                <w:webHidden/>
                <w:sz w:val="24"/>
                <w:szCs w:val="24"/>
              </w:rPr>
              <w:t>3</w:t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F08ABF" w14:textId="6ED4152C" w:rsidR="00262974" w:rsidRPr="00262974" w:rsidRDefault="00B31FAB">
          <w:pPr>
            <w:pStyle w:val="TOC1"/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528078442" w:history="1">
            <w:r w:rsidR="00262974" w:rsidRPr="00262974">
              <w:rPr>
                <w:rStyle w:val="Hyperlink"/>
                <w:rFonts w:cs="Times New Roman"/>
                <w:noProof/>
                <w:sz w:val="24"/>
                <w:szCs w:val="24"/>
                <w:lang w:val="ru-RU"/>
              </w:rPr>
              <w:t>Приложение А. Калибровка параметров для расчета риска премий</w:t>
            </w:r>
            <w:r w:rsidR="00262974" w:rsidRPr="00262974">
              <w:rPr>
                <w:noProof/>
                <w:webHidden/>
                <w:sz w:val="24"/>
                <w:szCs w:val="24"/>
              </w:rPr>
              <w:tab/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begin"/>
            </w:r>
            <w:r w:rsidR="00262974" w:rsidRPr="00262974">
              <w:rPr>
                <w:noProof/>
                <w:webHidden/>
                <w:sz w:val="24"/>
                <w:szCs w:val="24"/>
              </w:rPr>
              <w:instrText xml:space="preserve"> PAGEREF _Toc528078442 \h </w:instrText>
            </w:r>
            <w:r w:rsidR="00262974" w:rsidRPr="00262974">
              <w:rPr>
                <w:noProof/>
                <w:webHidden/>
                <w:sz w:val="24"/>
                <w:szCs w:val="24"/>
              </w:rPr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2974" w:rsidRPr="00262974">
              <w:rPr>
                <w:noProof/>
                <w:webHidden/>
                <w:sz w:val="24"/>
                <w:szCs w:val="24"/>
              </w:rPr>
              <w:t>7</w:t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78067" w14:textId="666DE3B7" w:rsidR="00262974" w:rsidRPr="00262974" w:rsidRDefault="00B31FAB">
          <w:pPr>
            <w:pStyle w:val="TOC1"/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528078443" w:history="1">
            <w:r w:rsidR="00262974" w:rsidRPr="00262974">
              <w:rPr>
                <w:rStyle w:val="Hyperlink"/>
                <w:rFonts w:cs="Times New Roman"/>
                <w:noProof/>
                <w:sz w:val="24"/>
                <w:szCs w:val="24"/>
                <w:lang w:val="ru-RU"/>
              </w:rPr>
              <w:t>Приложение Б. Калибровка параметров для расчета риска резервов</w:t>
            </w:r>
            <w:r w:rsidR="00262974" w:rsidRPr="00262974">
              <w:rPr>
                <w:noProof/>
                <w:webHidden/>
                <w:sz w:val="24"/>
                <w:szCs w:val="24"/>
              </w:rPr>
              <w:tab/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begin"/>
            </w:r>
            <w:r w:rsidR="00262974" w:rsidRPr="00262974">
              <w:rPr>
                <w:noProof/>
                <w:webHidden/>
                <w:sz w:val="24"/>
                <w:szCs w:val="24"/>
              </w:rPr>
              <w:instrText xml:space="preserve"> PAGEREF _Toc528078443 \h </w:instrText>
            </w:r>
            <w:r w:rsidR="00262974" w:rsidRPr="00262974">
              <w:rPr>
                <w:noProof/>
                <w:webHidden/>
                <w:sz w:val="24"/>
                <w:szCs w:val="24"/>
              </w:rPr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62974" w:rsidRPr="00262974">
              <w:rPr>
                <w:noProof/>
                <w:webHidden/>
                <w:sz w:val="24"/>
                <w:szCs w:val="24"/>
              </w:rPr>
              <w:t>9</w:t>
            </w:r>
            <w:r w:rsidR="00262974" w:rsidRPr="0026297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8DA2F5" w14:textId="2FF965A5" w:rsidR="00A47A19" w:rsidRPr="00262974" w:rsidRDefault="00B13FE2" w:rsidP="00DA5990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6297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974FE34" w14:textId="77777777" w:rsidR="00A47A19" w:rsidRPr="00A0701B" w:rsidRDefault="00A47A19" w:rsidP="00DA5990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3BD6132" w14:textId="62AD50FF" w:rsidR="00F6015B" w:rsidRPr="00A0701B" w:rsidRDefault="00F6015B" w:rsidP="00DA5990">
      <w:pPr>
        <w:pStyle w:val="Heading1"/>
        <w:spacing w:line="360" w:lineRule="auto"/>
        <w:rPr>
          <w:rFonts w:cs="Times New Roman"/>
          <w:sz w:val="24"/>
          <w:szCs w:val="24"/>
          <w:lang w:val="ru-RU"/>
        </w:rPr>
      </w:pPr>
      <w:bookmarkStart w:id="1" w:name="_Toc528078441"/>
      <w:r w:rsidRPr="00A0701B">
        <w:rPr>
          <w:rFonts w:cs="Times New Roman"/>
          <w:sz w:val="24"/>
          <w:szCs w:val="24"/>
          <w:lang w:val="ru-RU"/>
        </w:rPr>
        <w:lastRenderedPageBreak/>
        <w:t>Общее описание методо</w:t>
      </w:r>
      <w:r w:rsidR="00D43577" w:rsidRPr="00A0701B">
        <w:rPr>
          <w:rFonts w:cs="Times New Roman"/>
          <w:sz w:val="24"/>
          <w:szCs w:val="24"/>
          <w:lang w:val="ru-RU"/>
        </w:rPr>
        <w:t>логии</w:t>
      </w:r>
      <w:bookmarkEnd w:id="1"/>
    </w:p>
    <w:p w14:paraId="37952093" w14:textId="47A017C9" w:rsidR="00945825" w:rsidRPr="00A0701B" w:rsidRDefault="00D37A13" w:rsidP="00DA5990">
      <w:pPr>
        <w:pStyle w:val="ListParagraph"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45825" w:rsidRPr="00A0701B">
        <w:rPr>
          <w:rFonts w:ascii="Times New Roman" w:hAnsi="Times New Roman" w:cs="Times New Roman"/>
          <w:sz w:val="24"/>
          <w:szCs w:val="24"/>
          <w:lang w:val="ru-RU"/>
        </w:rPr>
        <w:t>ребования к капиталу по риску премий и резервов рассчитываются в соответствии со следующей формулой:</w:t>
      </w:r>
    </w:p>
    <w:p w14:paraId="6F0F8AD4" w14:textId="5CA23981" w:rsidR="00945825" w:rsidRPr="00A0701B" w:rsidRDefault="00B31FAB" w:rsidP="0026297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NL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pr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=3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</m:t>
        </m:r>
        <m:r>
          <w:rPr>
            <w:rFonts w:ascii="Cambria Math" w:hAnsi="Cambria Math" w:cs="Times New Roman"/>
            <w:sz w:val="24"/>
            <w:szCs w:val="24"/>
            <w:lang w:val="ru-RU"/>
          </w:rPr>
          <m:t>×V</m:t>
        </m:r>
      </m:oMath>
      <w:r w:rsidR="00221A88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</w:p>
    <w:p w14:paraId="424DE8A4" w14:textId="77777777" w:rsidR="00945825" w:rsidRPr="00A0701B" w:rsidRDefault="00945825" w:rsidP="00DA5990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где</w:t>
      </w:r>
    </w:p>
    <w:tbl>
      <w:tblPr>
        <w:tblW w:w="8278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6860"/>
      </w:tblGrid>
      <w:tr w:rsidR="00A92A47" w:rsidRPr="00B31FAB" w14:paraId="2DEC7FAC" w14:textId="77777777" w:rsidTr="00B13FE2">
        <w:trPr>
          <w:trHeight w:val="283"/>
        </w:trPr>
        <w:tc>
          <w:tcPr>
            <w:tcW w:w="993" w:type="dxa"/>
            <w:shd w:val="clear" w:color="auto" w:fill="FFFFFF"/>
          </w:tcPr>
          <w:p w14:paraId="1846D8E5" w14:textId="34DFB29D" w:rsidR="00A92A47" w:rsidRPr="00A0701B" w:rsidRDefault="00A92A47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sz w:val="24"/>
                <w:szCs w:val="24"/>
              </w:rPr>
            </w:pPr>
            <w:proofErr w:type="spellStart"/>
            <w:r w:rsidRPr="00A0701B">
              <w:rPr>
                <w:sz w:val="24"/>
                <w:szCs w:val="24"/>
              </w:rPr>
              <w:t>NL</w:t>
            </w:r>
            <w:r w:rsidRPr="00A0701B">
              <w:rPr>
                <w:sz w:val="24"/>
                <w:szCs w:val="24"/>
                <w:vertAlign w:val="subscript"/>
              </w:rPr>
              <w:t>pr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14:paraId="70FB91A5" w14:textId="0FEBF512" w:rsidR="00A92A47" w:rsidRPr="00262974" w:rsidRDefault="00221A88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860" w:type="dxa"/>
            <w:shd w:val="clear" w:color="auto" w:fill="FFFFFF"/>
          </w:tcPr>
          <w:p w14:paraId="7E0F5994" w14:textId="6A257A1F" w:rsidR="00A92A47" w:rsidRPr="00A0701B" w:rsidRDefault="00221A88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A0701B">
              <w:rPr>
                <w:sz w:val="24"/>
                <w:szCs w:val="24"/>
                <w:lang w:val="ru-RU"/>
              </w:rPr>
              <w:t xml:space="preserve">ребования </w:t>
            </w:r>
            <w:r w:rsidR="00A92A47" w:rsidRPr="00A0701B">
              <w:rPr>
                <w:sz w:val="24"/>
                <w:szCs w:val="24"/>
                <w:lang w:val="ru-RU"/>
              </w:rPr>
              <w:t>к капиталу по риску премий и резервов в страховании ином, чем страхование жизни (</w:t>
            </w:r>
            <w:r w:rsidR="00D71821" w:rsidRPr="00A0701B">
              <w:rPr>
                <w:sz w:val="24"/>
                <w:szCs w:val="24"/>
              </w:rPr>
              <w:t>SCR</w:t>
            </w:r>
            <w:r w:rsidR="00D71821" w:rsidRPr="00A0701B">
              <w:rPr>
                <w:sz w:val="24"/>
                <w:szCs w:val="24"/>
                <w:lang w:val="ru-RU"/>
              </w:rPr>
              <w:t xml:space="preserve"> </w:t>
            </w:r>
            <w:r w:rsidR="00D71821" w:rsidRPr="00A0701B">
              <w:rPr>
                <w:sz w:val="24"/>
                <w:szCs w:val="24"/>
              </w:rPr>
              <w:t>for</w:t>
            </w:r>
            <w:r w:rsidR="00D71821" w:rsidRPr="00A0701B">
              <w:rPr>
                <w:sz w:val="24"/>
                <w:szCs w:val="24"/>
                <w:lang w:val="ru-RU"/>
              </w:rPr>
              <w:t xml:space="preserve"> </w:t>
            </w:r>
            <w:r w:rsidR="00A92A47" w:rsidRPr="00A0701B">
              <w:rPr>
                <w:sz w:val="24"/>
                <w:szCs w:val="24"/>
              </w:rPr>
              <w:t>non</w:t>
            </w:r>
            <w:r w:rsidR="00A92A47" w:rsidRPr="00A0701B">
              <w:rPr>
                <w:sz w:val="24"/>
                <w:szCs w:val="24"/>
                <w:lang w:val="ru-RU"/>
              </w:rPr>
              <w:t>-</w:t>
            </w:r>
            <w:r w:rsidR="00A92A47" w:rsidRPr="00A0701B">
              <w:rPr>
                <w:sz w:val="24"/>
                <w:szCs w:val="24"/>
              </w:rPr>
              <w:t>life</w:t>
            </w:r>
            <w:r w:rsidR="00A92A47" w:rsidRPr="00A0701B">
              <w:rPr>
                <w:sz w:val="24"/>
                <w:szCs w:val="24"/>
                <w:lang w:val="ru-RU"/>
              </w:rPr>
              <w:t xml:space="preserve"> </w:t>
            </w:r>
            <w:r w:rsidR="00A92A47" w:rsidRPr="00A0701B">
              <w:rPr>
                <w:sz w:val="24"/>
                <w:szCs w:val="24"/>
              </w:rPr>
              <w:t>premium</w:t>
            </w:r>
            <w:r w:rsidR="00A92A47" w:rsidRPr="00A0701B">
              <w:rPr>
                <w:sz w:val="24"/>
                <w:szCs w:val="24"/>
                <w:lang w:val="ru-RU"/>
              </w:rPr>
              <w:t xml:space="preserve"> </w:t>
            </w:r>
            <w:r w:rsidR="00A92A47" w:rsidRPr="00A0701B">
              <w:rPr>
                <w:sz w:val="24"/>
                <w:szCs w:val="24"/>
              </w:rPr>
              <w:t>and</w:t>
            </w:r>
            <w:r w:rsidR="00A92A47" w:rsidRPr="00A0701B">
              <w:rPr>
                <w:sz w:val="24"/>
                <w:szCs w:val="24"/>
                <w:lang w:val="ru-RU"/>
              </w:rPr>
              <w:t xml:space="preserve"> </w:t>
            </w:r>
            <w:r w:rsidR="00A92A47" w:rsidRPr="00A0701B">
              <w:rPr>
                <w:sz w:val="24"/>
                <w:szCs w:val="24"/>
              </w:rPr>
              <w:t>reserve</w:t>
            </w:r>
            <w:r w:rsidR="00A92A47" w:rsidRPr="00A0701B">
              <w:rPr>
                <w:sz w:val="24"/>
                <w:szCs w:val="24"/>
                <w:lang w:val="ru-RU"/>
              </w:rPr>
              <w:t xml:space="preserve"> </w:t>
            </w:r>
            <w:r w:rsidR="00A92A47" w:rsidRPr="00A0701B">
              <w:rPr>
                <w:sz w:val="24"/>
                <w:szCs w:val="24"/>
              </w:rPr>
              <w:t>risk</w:t>
            </w:r>
            <w:r w:rsidR="00A92A47" w:rsidRPr="00A0701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945825" w:rsidRPr="00A0701B" w14:paraId="617E37D5" w14:textId="77777777" w:rsidTr="00B13FE2">
        <w:trPr>
          <w:trHeight w:val="283"/>
        </w:trPr>
        <w:tc>
          <w:tcPr>
            <w:tcW w:w="993" w:type="dxa"/>
            <w:shd w:val="clear" w:color="auto" w:fill="FFFFFF"/>
          </w:tcPr>
          <w:p w14:paraId="41E2BEB5" w14:textId="77777777" w:rsidR="00945825" w:rsidRPr="00A0701B" w:rsidRDefault="007F7303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sz w:val="24"/>
                <w:szCs w:val="24"/>
              </w:rPr>
            </w:pPr>
            <w:r w:rsidRPr="00A0701B">
              <w:rPr>
                <w:sz w:val="24"/>
                <w:szCs w:val="24"/>
              </w:rPr>
              <w:t>V</w:t>
            </w:r>
          </w:p>
        </w:tc>
        <w:tc>
          <w:tcPr>
            <w:tcW w:w="425" w:type="dxa"/>
            <w:shd w:val="clear" w:color="auto" w:fill="FFFFFF"/>
          </w:tcPr>
          <w:p w14:paraId="32BB0B82" w14:textId="3ACAD526" w:rsidR="00945825" w:rsidRPr="00262974" w:rsidRDefault="00221A88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860" w:type="dxa"/>
            <w:shd w:val="clear" w:color="auto" w:fill="FFFFFF"/>
          </w:tcPr>
          <w:p w14:paraId="4CB54754" w14:textId="02B34263" w:rsidR="00945825" w:rsidRPr="00A0701B" w:rsidRDefault="00221A88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0701B">
              <w:rPr>
                <w:sz w:val="24"/>
                <w:szCs w:val="24"/>
                <w:lang w:val="ru-RU"/>
              </w:rPr>
              <w:t xml:space="preserve">оказатель </w:t>
            </w:r>
            <w:r w:rsidR="007F7303" w:rsidRPr="00A0701B">
              <w:rPr>
                <w:sz w:val="24"/>
                <w:szCs w:val="24"/>
                <w:lang w:val="ru-RU"/>
              </w:rPr>
              <w:t>объема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945825" w:rsidRPr="00B31FAB" w14:paraId="6B9CD6A5" w14:textId="77777777" w:rsidTr="00B13FE2">
        <w:trPr>
          <w:trHeight w:val="283"/>
        </w:trPr>
        <w:tc>
          <w:tcPr>
            <w:tcW w:w="993" w:type="dxa"/>
            <w:shd w:val="clear" w:color="auto" w:fill="FFFFFF"/>
          </w:tcPr>
          <w:p w14:paraId="4230C9CF" w14:textId="77777777" w:rsidR="00945825" w:rsidRPr="00A0701B" w:rsidRDefault="007F7303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sz w:val="24"/>
                <w:szCs w:val="24"/>
              </w:rPr>
            </w:pPr>
            <w:r w:rsidRPr="00A0701B">
              <w:rPr>
                <w:sz w:val="24"/>
                <w:szCs w:val="24"/>
              </w:rPr>
              <w:t>σ</w:t>
            </w:r>
          </w:p>
        </w:tc>
        <w:tc>
          <w:tcPr>
            <w:tcW w:w="425" w:type="dxa"/>
            <w:shd w:val="clear" w:color="auto" w:fill="FFFFFF"/>
          </w:tcPr>
          <w:p w14:paraId="64BAE576" w14:textId="32068C0F" w:rsidR="00945825" w:rsidRPr="00262974" w:rsidRDefault="00221A88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860" w:type="dxa"/>
            <w:shd w:val="clear" w:color="auto" w:fill="FFFFFF"/>
          </w:tcPr>
          <w:p w14:paraId="7101C2D8" w14:textId="4037E8DA" w:rsidR="00945825" w:rsidRPr="00A0701B" w:rsidRDefault="00221A88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0701B">
              <w:rPr>
                <w:sz w:val="24"/>
                <w:szCs w:val="24"/>
                <w:lang w:val="ru-RU"/>
              </w:rPr>
              <w:t xml:space="preserve">бщее </w:t>
            </w:r>
            <w:r w:rsidR="00517D91" w:rsidRPr="00A0701B">
              <w:rPr>
                <w:sz w:val="24"/>
                <w:szCs w:val="24"/>
                <w:lang w:val="ru-RU"/>
              </w:rPr>
              <w:t>стандартное</w:t>
            </w:r>
            <w:r w:rsidR="007F7303" w:rsidRPr="00A0701B">
              <w:rPr>
                <w:sz w:val="24"/>
                <w:szCs w:val="24"/>
                <w:lang w:val="ru-RU"/>
              </w:rPr>
              <w:t xml:space="preserve"> отклонение, </w:t>
            </w:r>
            <w:r w:rsidR="00B5041D" w:rsidRPr="00A0701B">
              <w:rPr>
                <w:sz w:val="24"/>
                <w:szCs w:val="24"/>
                <w:lang w:val="ru-RU"/>
              </w:rPr>
              <w:t>представляюще</w:t>
            </w:r>
            <w:r w:rsidR="00517D91" w:rsidRPr="00A0701B">
              <w:rPr>
                <w:sz w:val="24"/>
                <w:szCs w:val="24"/>
                <w:lang w:val="ru-RU"/>
              </w:rPr>
              <w:t xml:space="preserve">е собой </w:t>
            </w:r>
            <w:r w:rsidR="003B467B" w:rsidRPr="00A0701B">
              <w:rPr>
                <w:sz w:val="24"/>
                <w:szCs w:val="24"/>
                <w:lang w:val="ru-RU"/>
              </w:rPr>
              <w:t xml:space="preserve">совокупное стандартное отклонение </w:t>
            </w:r>
            <w:r w:rsidR="00B5041D" w:rsidRPr="00A0701B">
              <w:rPr>
                <w:sz w:val="24"/>
                <w:szCs w:val="24"/>
                <w:lang w:val="ru-RU"/>
              </w:rPr>
              <w:t>по риску премий и резервов</w:t>
            </w:r>
            <w:r>
              <w:rPr>
                <w:sz w:val="24"/>
                <w:szCs w:val="24"/>
                <w:lang w:val="ru-RU"/>
              </w:rPr>
              <w:t>.</w:t>
            </w:r>
            <w:r w:rsidR="003B467B" w:rsidRPr="00A0701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C609EDC" w14:textId="77777777" w:rsidR="00945825" w:rsidRPr="00A0701B" w:rsidRDefault="00945825" w:rsidP="00DA599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B30D83C" w14:textId="3BECD607" w:rsidR="00B73482" w:rsidRPr="00A0701B" w:rsidRDefault="00E72411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Данная формула </w:t>
      </w:r>
      <w:r w:rsidR="00B13FE2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основана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на предположении о логнормальном распределении базового риска и учитывает требования к капиталу, соответствующие стандарту меры риска (</w:t>
      </w:r>
      <w:proofErr w:type="spellStart"/>
      <w:r w:rsidRPr="00A0701B">
        <w:rPr>
          <w:rFonts w:ascii="Times New Roman" w:hAnsi="Times New Roman" w:cs="Times New Roman"/>
          <w:sz w:val="24"/>
          <w:szCs w:val="24"/>
          <w:lang w:val="ru-RU"/>
        </w:rPr>
        <w:t>VaR</w:t>
      </w:r>
      <w:proofErr w:type="spellEnd"/>
      <w:r w:rsidRPr="00A0701B">
        <w:rPr>
          <w:rFonts w:ascii="Times New Roman" w:hAnsi="Times New Roman" w:cs="Times New Roman"/>
          <w:sz w:val="24"/>
          <w:szCs w:val="24"/>
          <w:lang w:val="ru-RU"/>
        </w:rPr>
        <w:t>) 99,5</w:t>
      </w:r>
      <w:r w:rsidR="00221A8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  <w:r w:rsidR="00930275" w:rsidRPr="00A0701B">
        <w:rPr>
          <w:rFonts w:ascii="Times New Roman" w:hAnsi="Times New Roman" w:cs="Times New Roman"/>
          <w:sz w:val="24"/>
          <w:szCs w:val="24"/>
          <w:lang w:val="ru-RU"/>
        </w:rPr>
        <w:t>Поэтому показатель объема V умножается на значение, составляющее «3 × σ» и соответствующее перцентилю</w:t>
      </w:r>
      <w:r w:rsidR="002E7506">
        <w:rPr>
          <w:rFonts w:ascii="Times New Roman" w:hAnsi="Times New Roman" w:cs="Times New Roman"/>
          <w:sz w:val="24"/>
          <w:szCs w:val="24"/>
          <w:lang w:val="ru-RU"/>
        </w:rPr>
        <w:t xml:space="preserve"> 99,5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B87889" w14:textId="77777777" w:rsidR="00B73482" w:rsidRPr="00A0701B" w:rsidRDefault="00B73482" w:rsidP="00DA599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B4CBD" w14:textId="69DBA792" w:rsidR="007B601D" w:rsidRPr="00A0701B" w:rsidRDefault="007B601D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="004026A8" w:rsidRPr="00A0701B">
        <w:rPr>
          <w:rFonts w:ascii="Times New Roman" w:hAnsi="Times New Roman" w:cs="Times New Roman"/>
          <w:sz w:val="24"/>
          <w:szCs w:val="24"/>
          <w:lang w:val="ru-RU"/>
        </w:rPr>
        <w:t>ий показатель объема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01B">
        <w:rPr>
          <w:rFonts w:ascii="Times New Roman" w:hAnsi="Times New Roman" w:cs="Times New Roman"/>
          <w:sz w:val="24"/>
          <w:szCs w:val="24"/>
        </w:rPr>
        <w:t>V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722" w:rsidRPr="00A0701B">
        <w:rPr>
          <w:rFonts w:ascii="Times New Roman" w:hAnsi="Times New Roman" w:cs="Times New Roman"/>
          <w:sz w:val="24"/>
          <w:szCs w:val="24"/>
          <w:lang w:val="ru-RU"/>
        </w:rPr>
        <w:t>рассчитывается по формуле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97BE161" w14:textId="773867B6" w:rsidR="00945825" w:rsidRPr="00A0701B" w:rsidRDefault="004026A8" w:rsidP="002629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V=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LoB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lob</m:t>
                </m:r>
              </m:sub>
            </m:sSub>
          </m:e>
        </m:nary>
      </m:oMath>
      <w:r w:rsidR="00221A88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</w:p>
    <w:p w14:paraId="4081FD3C" w14:textId="77777777" w:rsidR="004026A8" w:rsidRPr="00A0701B" w:rsidRDefault="004026A8" w:rsidP="00DA5990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где</w:t>
      </w:r>
    </w:p>
    <w:p w14:paraId="55DCCD13" w14:textId="4E7F2E40" w:rsidR="004026A8" w:rsidRPr="00A0701B" w:rsidRDefault="004026A8" w:rsidP="00DA5990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для </w:t>
      </w:r>
      <w:r w:rsidR="00CA1877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каждого </w:t>
      </w: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отдельно</w:t>
      </w:r>
      <w:r w:rsidR="003B467B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го сегмента </w:t>
      </w:r>
      <w:proofErr w:type="spellStart"/>
      <w:r w:rsidRPr="00A0701B">
        <w:rPr>
          <w:rFonts w:ascii="Times New Roman" w:eastAsiaTheme="minorEastAsia" w:hAnsi="Times New Roman" w:cs="Times New Roman"/>
          <w:sz w:val="24"/>
          <w:szCs w:val="24"/>
        </w:rPr>
        <w:t>LoB</w:t>
      </w:r>
      <w:proofErr w:type="spellEnd"/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701B"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 w:rsidRPr="00A0701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lob</w:t>
      </w:r>
      <w:proofErr w:type="spellEnd"/>
      <w:r w:rsidRPr="00A0701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представляет собой </w:t>
      </w:r>
      <w:r w:rsidR="000B684E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совокупный </w:t>
      </w: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показатель объема </w:t>
      </w:r>
      <w:r w:rsidR="00517D91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по риску премий и резервов:</w:t>
      </w:r>
    </w:p>
    <w:p w14:paraId="12B4296C" w14:textId="770A6271" w:rsidR="00517D91" w:rsidRPr="00A0701B" w:rsidRDefault="00B31FAB" w:rsidP="00262974">
      <w:pPr>
        <w:spacing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lob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(prem,lob)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(res,lob)</m:t>
            </m:r>
          </m:sub>
        </m:sSub>
      </m:oMath>
      <w:r w:rsidR="00E52037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14:paraId="44847769" w14:textId="77777777" w:rsidR="00DA5990" w:rsidRDefault="00DA5990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 w:type="page"/>
      </w:r>
    </w:p>
    <w:p w14:paraId="41792D06" w14:textId="5F39B93E" w:rsidR="00A92A47" w:rsidRPr="00A0701B" w:rsidRDefault="00D71821" w:rsidP="00DA5990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Р</w:t>
      </w:r>
      <w:r w:rsidR="00A92A47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асшифровка </w:t>
      </w:r>
      <w:r w:rsidR="000765AF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используемых </w:t>
      </w:r>
      <w:r w:rsidR="00A92A47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сокращений представлена в таблице ниже</w:t>
      </w: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  <w:r w:rsidR="00A92A47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tbl>
      <w:tblPr>
        <w:tblW w:w="8278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6860"/>
      </w:tblGrid>
      <w:tr w:rsidR="001C4246" w:rsidRPr="00A0701B" w14:paraId="5CA00622" w14:textId="77777777" w:rsidTr="00A92A47">
        <w:trPr>
          <w:trHeight w:val="283"/>
        </w:trPr>
        <w:tc>
          <w:tcPr>
            <w:tcW w:w="993" w:type="dxa"/>
            <w:shd w:val="clear" w:color="auto" w:fill="FFFFFF"/>
          </w:tcPr>
          <w:p w14:paraId="0727238E" w14:textId="50DB60E9" w:rsidR="001C4246" w:rsidRPr="00A0701B" w:rsidRDefault="001C4246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sz w:val="24"/>
                <w:szCs w:val="24"/>
              </w:rPr>
            </w:pPr>
            <w:r w:rsidRPr="00A0701B">
              <w:rPr>
                <w:sz w:val="24"/>
                <w:szCs w:val="24"/>
              </w:rPr>
              <w:t>lob</w:t>
            </w:r>
          </w:p>
        </w:tc>
        <w:tc>
          <w:tcPr>
            <w:tcW w:w="425" w:type="dxa"/>
            <w:shd w:val="clear" w:color="auto" w:fill="FFFFFF"/>
          </w:tcPr>
          <w:p w14:paraId="038BC625" w14:textId="07DB946D" w:rsidR="001C4246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860" w:type="dxa"/>
            <w:shd w:val="clear" w:color="auto" w:fill="FFFFFF"/>
          </w:tcPr>
          <w:p w14:paraId="243D3ED4" w14:textId="67A011A1" w:rsidR="001C4246" w:rsidRPr="00E52037" w:rsidRDefault="001C4246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A0701B">
              <w:rPr>
                <w:sz w:val="24"/>
                <w:szCs w:val="24"/>
                <w:lang w:val="ru-RU"/>
              </w:rPr>
              <w:t xml:space="preserve">сегмент </w:t>
            </w:r>
            <w:r w:rsidRPr="00A0701B">
              <w:rPr>
                <w:sz w:val="24"/>
                <w:szCs w:val="24"/>
              </w:rPr>
              <w:t>(line of business)</w:t>
            </w:r>
            <w:r w:rsidR="00E52037">
              <w:rPr>
                <w:sz w:val="24"/>
                <w:szCs w:val="24"/>
                <w:lang w:val="ru-RU"/>
              </w:rPr>
              <w:t>;</w:t>
            </w:r>
          </w:p>
        </w:tc>
      </w:tr>
      <w:tr w:rsidR="00A92A47" w:rsidRPr="00A0701B" w14:paraId="0D810208" w14:textId="77777777" w:rsidTr="00A92A47">
        <w:trPr>
          <w:trHeight w:val="283"/>
        </w:trPr>
        <w:tc>
          <w:tcPr>
            <w:tcW w:w="993" w:type="dxa"/>
            <w:shd w:val="clear" w:color="auto" w:fill="FFFFFF"/>
          </w:tcPr>
          <w:p w14:paraId="60C1254E" w14:textId="05829D5A" w:rsidR="00A92A47" w:rsidRPr="00A0701B" w:rsidRDefault="00A92A47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sz w:val="24"/>
                <w:szCs w:val="24"/>
              </w:rPr>
            </w:pPr>
            <w:proofErr w:type="spellStart"/>
            <w:r w:rsidRPr="00A0701B">
              <w:rPr>
                <w:sz w:val="24"/>
                <w:szCs w:val="24"/>
              </w:rPr>
              <w:t>prem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14:paraId="6CC11147" w14:textId="0DD9D0D3" w:rsidR="00A92A47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860" w:type="dxa"/>
            <w:shd w:val="clear" w:color="auto" w:fill="FFFFFF"/>
          </w:tcPr>
          <w:p w14:paraId="45C0B8DE" w14:textId="67B16A14" w:rsidR="00A92A47" w:rsidRPr="00A0701B" w:rsidRDefault="00A92A47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A0701B">
              <w:rPr>
                <w:sz w:val="24"/>
                <w:szCs w:val="24"/>
                <w:lang w:val="ru-RU"/>
              </w:rPr>
              <w:t>премии (</w:t>
            </w:r>
            <w:r w:rsidRPr="00A0701B">
              <w:rPr>
                <w:sz w:val="24"/>
                <w:szCs w:val="24"/>
              </w:rPr>
              <w:t>premium</w:t>
            </w:r>
            <w:r w:rsidRPr="00A0701B">
              <w:rPr>
                <w:sz w:val="24"/>
                <w:szCs w:val="24"/>
                <w:lang w:val="ru-RU"/>
              </w:rPr>
              <w:t>)</w:t>
            </w:r>
            <w:r w:rsidR="00E52037">
              <w:rPr>
                <w:sz w:val="24"/>
                <w:szCs w:val="24"/>
                <w:lang w:val="ru-RU"/>
              </w:rPr>
              <w:t>;</w:t>
            </w:r>
          </w:p>
        </w:tc>
      </w:tr>
      <w:tr w:rsidR="00A92A47" w:rsidRPr="00A0701B" w14:paraId="4CAB6493" w14:textId="77777777" w:rsidTr="00A92A47">
        <w:trPr>
          <w:trHeight w:val="283"/>
        </w:trPr>
        <w:tc>
          <w:tcPr>
            <w:tcW w:w="993" w:type="dxa"/>
            <w:shd w:val="clear" w:color="auto" w:fill="FFFFFF"/>
          </w:tcPr>
          <w:p w14:paraId="2937972B" w14:textId="6E583F8F" w:rsidR="00A92A47" w:rsidRPr="00A0701B" w:rsidRDefault="00A92A47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sz w:val="24"/>
                <w:szCs w:val="24"/>
              </w:rPr>
            </w:pPr>
            <w:r w:rsidRPr="00A0701B">
              <w:rPr>
                <w:sz w:val="24"/>
                <w:szCs w:val="24"/>
              </w:rPr>
              <w:t>res</w:t>
            </w:r>
          </w:p>
        </w:tc>
        <w:tc>
          <w:tcPr>
            <w:tcW w:w="425" w:type="dxa"/>
            <w:shd w:val="clear" w:color="auto" w:fill="FFFFFF"/>
          </w:tcPr>
          <w:p w14:paraId="54AF112E" w14:textId="782CDD1B" w:rsidR="00A92A47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860" w:type="dxa"/>
            <w:shd w:val="clear" w:color="auto" w:fill="FFFFFF"/>
          </w:tcPr>
          <w:p w14:paraId="5B32F344" w14:textId="418CDDCD" w:rsidR="00A92A47" w:rsidRPr="00262974" w:rsidRDefault="000765AF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A0701B">
              <w:rPr>
                <w:sz w:val="24"/>
                <w:szCs w:val="24"/>
                <w:lang w:val="ru-RU"/>
              </w:rPr>
              <w:t xml:space="preserve">резервы </w:t>
            </w:r>
            <w:r w:rsidRPr="00A0701B">
              <w:rPr>
                <w:sz w:val="24"/>
                <w:szCs w:val="24"/>
              </w:rPr>
              <w:t>(reserve)</w:t>
            </w:r>
            <w:r w:rsidR="00E52037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297D2F55" w14:textId="77777777" w:rsidR="00A92A47" w:rsidRPr="00A0701B" w:rsidRDefault="00A92A47" w:rsidP="00DA5990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24A5CDB5" w14:textId="09EF1EC0" w:rsidR="00AC6FE9" w:rsidRPr="00A0701B" w:rsidRDefault="00AC6FE9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Для расчета показателя объема по риску премий по </w:t>
      </w:r>
      <w:r w:rsidR="00CA1877" w:rsidRPr="00A0701B">
        <w:rPr>
          <w:rFonts w:ascii="Times New Roman" w:hAnsi="Times New Roman" w:cs="Times New Roman"/>
          <w:sz w:val="24"/>
          <w:szCs w:val="24"/>
          <w:lang w:val="ru-RU"/>
        </w:rPr>
        <w:t>отдельному сегменту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следующая формула:</w:t>
      </w:r>
    </w:p>
    <w:p w14:paraId="07D15872" w14:textId="6B6E4B79" w:rsidR="00AC6FE9" w:rsidRPr="00A0701B" w:rsidRDefault="00B31FAB" w:rsidP="002629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prem, lob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/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lob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P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last,lob</m:t>
                        </m:r>
                      </m:e>
                    </m:d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FP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existing,lob</m:t>
                    </m:r>
                  </m:e>
                </m:d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FP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future,lob</m:t>
                    </m:r>
                  </m:e>
                </m:d>
              </m:sub>
            </m:sSub>
          </m:e>
        </m:func>
      </m:oMath>
      <w:r w:rsidR="00E52037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</w:p>
    <w:p w14:paraId="053AD007" w14:textId="77777777" w:rsidR="00AC6FE9" w:rsidRPr="00A0701B" w:rsidRDefault="00AC6FE9" w:rsidP="00DA599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tbl>
      <w:tblPr>
        <w:tblW w:w="8784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39"/>
        <w:gridCol w:w="7185"/>
      </w:tblGrid>
      <w:tr w:rsidR="00465EE7" w:rsidRPr="00B31FAB" w14:paraId="32517560" w14:textId="77777777" w:rsidTr="00F6015B">
        <w:trPr>
          <w:trHeight w:val="340"/>
        </w:trPr>
        <w:tc>
          <w:tcPr>
            <w:tcW w:w="1260" w:type="dxa"/>
            <w:shd w:val="clear" w:color="auto" w:fill="FFFFFF"/>
          </w:tcPr>
          <w:p w14:paraId="3C4B6260" w14:textId="77777777" w:rsidR="00AC6FE9" w:rsidRPr="00A0701B" w:rsidRDefault="00AC6FE9" w:rsidP="00DA5990">
            <w:pPr>
              <w:pStyle w:val="Bodytext20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A0701B">
              <w:rPr>
                <w:i/>
                <w:sz w:val="24"/>
                <w:szCs w:val="24"/>
              </w:rPr>
              <w:t>P</w:t>
            </w:r>
            <w:r w:rsidRPr="00A0701B">
              <w:rPr>
                <w:i/>
                <w:sz w:val="24"/>
                <w:szCs w:val="24"/>
                <w:vertAlign w:val="subscript"/>
              </w:rPr>
              <w:t>lob</w:t>
            </w:r>
            <w:proofErr w:type="spellEnd"/>
          </w:p>
        </w:tc>
        <w:tc>
          <w:tcPr>
            <w:tcW w:w="339" w:type="dxa"/>
            <w:shd w:val="clear" w:color="auto" w:fill="FFFFFF"/>
          </w:tcPr>
          <w:p w14:paraId="3309E1CE" w14:textId="6C2B4653" w:rsidR="00AC6FE9" w:rsidRPr="00262974" w:rsidRDefault="00E52037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185" w:type="dxa"/>
            <w:shd w:val="clear" w:color="auto" w:fill="FFFFFF"/>
          </w:tcPr>
          <w:p w14:paraId="1D286904" w14:textId="7A93CAC3" w:rsidR="00AC6FE9" w:rsidRPr="00A0701B" w:rsidRDefault="00E52037" w:rsidP="00E52037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0701B">
              <w:rPr>
                <w:sz w:val="24"/>
                <w:szCs w:val="24"/>
                <w:lang w:val="ru-RU"/>
              </w:rPr>
              <w:t xml:space="preserve">жидаемая 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заработанная премия для сегмента </w:t>
            </w:r>
            <w:r w:rsidR="00AC6FE9" w:rsidRPr="00A0701B">
              <w:rPr>
                <w:sz w:val="24"/>
                <w:szCs w:val="24"/>
              </w:rPr>
              <w:t>lob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 в течение следующих </w:t>
            </w:r>
            <w:r w:rsidRPr="00A0701B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месяцев (в </w:t>
            </w:r>
            <w:r w:rsidRPr="00A0701B">
              <w:rPr>
                <w:sz w:val="24"/>
                <w:szCs w:val="24"/>
                <w:lang w:val="ru-RU"/>
              </w:rPr>
              <w:t>2018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году) по договорам, действующим на отчетную дату (31.12.2017), и по будущим договорам, которые будут заключены в течение следующих </w:t>
            </w:r>
            <w:r w:rsidRPr="00A0701B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месяцев (в </w:t>
            </w:r>
            <w:r w:rsidRPr="00A0701B">
              <w:rPr>
                <w:sz w:val="24"/>
                <w:szCs w:val="24"/>
                <w:lang w:val="ru-RU"/>
              </w:rPr>
              <w:t>2018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>году)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465EE7" w:rsidRPr="00B31FAB" w14:paraId="2F52A6EC" w14:textId="77777777" w:rsidTr="00F6015B">
        <w:trPr>
          <w:trHeight w:val="340"/>
        </w:trPr>
        <w:tc>
          <w:tcPr>
            <w:tcW w:w="1260" w:type="dxa"/>
            <w:shd w:val="clear" w:color="auto" w:fill="FFFFFF"/>
          </w:tcPr>
          <w:p w14:paraId="7A10C32E" w14:textId="77777777" w:rsidR="00AC6FE9" w:rsidRPr="00A0701B" w:rsidRDefault="00AC6FE9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</w:rPr>
            </w:pPr>
            <w:r w:rsidRPr="00A0701B">
              <w:rPr>
                <w:i/>
                <w:sz w:val="24"/>
                <w:szCs w:val="24"/>
                <w:lang w:val="en-US"/>
              </w:rPr>
              <w:t>P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last,lob</w:t>
            </w:r>
            <w:proofErr w:type="spellEnd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339" w:type="dxa"/>
            <w:shd w:val="clear" w:color="auto" w:fill="FFFFFF"/>
          </w:tcPr>
          <w:p w14:paraId="701CBDB5" w14:textId="12D6A16A" w:rsidR="00AC6FE9" w:rsidRPr="00262974" w:rsidRDefault="00E52037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185" w:type="dxa"/>
            <w:shd w:val="clear" w:color="auto" w:fill="FFFFFF"/>
          </w:tcPr>
          <w:p w14:paraId="19A6CEA7" w14:textId="43E67C0D" w:rsidR="00AC6FE9" w:rsidRPr="00A0701B" w:rsidRDefault="00E52037" w:rsidP="00E52037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A0701B">
              <w:rPr>
                <w:sz w:val="24"/>
                <w:szCs w:val="24"/>
                <w:lang w:val="ru-RU"/>
              </w:rPr>
              <w:t xml:space="preserve">аработанная 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премия для сегмента </w:t>
            </w:r>
            <w:r w:rsidR="00AC6FE9" w:rsidRPr="00A0701B">
              <w:rPr>
                <w:sz w:val="24"/>
                <w:szCs w:val="24"/>
              </w:rPr>
              <w:t>lob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 в течение последних </w:t>
            </w:r>
            <w:r w:rsidRPr="00A0701B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месяцев (в </w:t>
            </w:r>
            <w:r w:rsidRPr="00A0701B">
              <w:rPr>
                <w:sz w:val="24"/>
                <w:szCs w:val="24"/>
                <w:lang w:val="ru-RU"/>
              </w:rPr>
              <w:t>2017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>году)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465EE7" w:rsidRPr="00B31FAB" w14:paraId="68DAA014" w14:textId="77777777" w:rsidTr="00F6015B">
        <w:trPr>
          <w:trHeight w:val="340"/>
        </w:trPr>
        <w:tc>
          <w:tcPr>
            <w:tcW w:w="1260" w:type="dxa"/>
            <w:shd w:val="clear" w:color="auto" w:fill="FFFFFF"/>
          </w:tcPr>
          <w:p w14:paraId="10DA85CD" w14:textId="77777777" w:rsidR="00AC6FE9" w:rsidRPr="00A0701B" w:rsidRDefault="00AC6FE9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A0701B">
              <w:rPr>
                <w:i/>
                <w:sz w:val="24"/>
                <w:szCs w:val="24"/>
                <w:lang w:val="en-US"/>
              </w:rPr>
              <w:t>FP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existing,lob</w:t>
            </w:r>
            <w:proofErr w:type="spellEnd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339" w:type="dxa"/>
            <w:shd w:val="clear" w:color="auto" w:fill="FFFFFF"/>
          </w:tcPr>
          <w:p w14:paraId="2A4BC9B0" w14:textId="7C31D20A" w:rsidR="00AC6FE9" w:rsidRPr="00262974" w:rsidRDefault="00E52037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185" w:type="dxa"/>
            <w:shd w:val="clear" w:color="auto" w:fill="FFFFFF"/>
          </w:tcPr>
          <w:p w14:paraId="388531F7" w14:textId="541A94A4" w:rsidR="00AC6FE9" w:rsidRPr="00A0701B" w:rsidRDefault="00E52037" w:rsidP="00E52037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A0701B">
              <w:rPr>
                <w:sz w:val="24"/>
                <w:szCs w:val="24"/>
                <w:lang w:val="ru-RU"/>
              </w:rPr>
              <w:t xml:space="preserve">екущая 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стоимость ожидаемой заработанной премии по существующим договорам страхования и перестрахования для сегмента </w:t>
            </w:r>
            <w:r w:rsidR="00AC6FE9" w:rsidRPr="00A0701B">
              <w:rPr>
                <w:sz w:val="24"/>
                <w:szCs w:val="24"/>
              </w:rPr>
              <w:t>lob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 после следующих </w:t>
            </w:r>
            <w:r w:rsidRPr="00A0701B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месяцев (в </w:t>
            </w:r>
            <w:r w:rsidRPr="00A0701B">
              <w:rPr>
                <w:sz w:val="24"/>
                <w:szCs w:val="24"/>
                <w:lang w:val="ru-RU"/>
              </w:rPr>
              <w:t>2019</w:t>
            </w:r>
            <w:r>
              <w:rPr>
                <w:sz w:val="24"/>
                <w:szCs w:val="24"/>
                <w:lang w:val="ru-RU"/>
              </w:rPr>
              <w:t> </w:t>
            </w:r>
            <w:r w:rsidR="00AC6FE9" w:rsidRPr="00A0701B">
              <w:rPr>
                <w:sz w:val="24"/>
                <w:szCs w:val="24"/>
                <w:lang w:val="ru-RU"/>
              </w:rPr>
              <w:t>году и далее)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422E9A" w:rsidRPr="00B31FAB" w14:paraId="60C4863B" w14:textId="77777777" w:rsidTr="00F6015B">
        <w:trPr>
          <w:trHeight w:val="340"/>
        </w:trPr>
        <w:tc>
          <w:tcPr>
            <w:tcW w:w="1260" w:type="dxa"/>
            <w:shd w:val="clear" w:color="auto" w:fill="FFFFFF"/>
          </w:tcPr>
          <w:p w14:paraId="263C06D2" w14:textId="77777777" w:rsidR="00AC6FE9" w:rsidRPr="00A0701B" w:rsidRDefault="00AC6FE9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  <w:lang w:val="en-US"/>
              </w:rPr>
            </w:pPr>
            <w:r w:rsidRPr="00A0701B">
              <w:rPr>
                <w:i/>
                <w:sz w:val="24"/>
                <w:szCs w:val="24"/>
                <w:lang w:val="en-US"/>
              </w:rPr>
              <w:t>FP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future,lob</w:t>
            </w:r>
            <w:proofErr w:type="spellEnd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339" w:type="dxa"/>
            <w:shd w:val="clear" w:color="auto" w:fill="FFFFFF"/>
          </w:tcPr>
          <w:p w14:paraId="67DE5AD0" w14:textId="1AC5450D" w:rsidR="00AC6FE9" w:rsidRPr="00E52037" w:rsidRDefault="00E52037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185" w:type="dxa"/>
            <w:shd w:val="clear" w:color="auto" w:fill="FFFFFF"/>
          </w:tcPr>
          <w:p w14:paraId="584EC410" w14:textId="690F7429" w:rsidR="00AC6FE9" w:rsidRPr="00A0701B" w:rsidRDefault="00AA12F6" w:rsidP="00E52037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A0701B">
              <w:rPr>
                <w:sz w:val="24"/>
                <w:szCs w:val="24"/>
                <w:lang w:val="ru-RU"/>
              </w:rPr>
              <w:t xml:space="preserve">текущая стоимость ожидаемой заработанной премии после следующих </w:t>
            </w:r>
            <w:r w:rsidR="00E52037" w:rsidRPr="00A0701B">
              <w:rPr>
                <w:sz w:val="24"/>
                <w:szCs w:val="24"/>
                <w:lang w:val="ru-RU"/>
              </w:rPr>
              <w:t>12</w:t>
            </w:r>
            <w:r w:rsidR="00E52037">
              <w:rPr>
                <w:sz w:val="24"/>
                <w:szCs w:val="24"/>
                <w:lang w:val="ru-RU"/>
              </w:rPr>
              <w:t> </w:t>
            </w:r>
            <w:r w:rsidRPr="00A0701B">
              <w:rPr>
                <w:sz w:val="24"/>
                <w:szCs w:val="24"/>
                <w:lang w:val="ru-RU"/>
              </w:rPr>
              <w:t xml:space="preserve">месяцев (в </w:t>
            </w:r>
            <w:r w:rsidR="00E52037" w:rsidRPr="00A0701B">
              <w:rPr>
                <w:sz w:val="24"/>
                <w:szCs w:val="24"/>
                <w:lang w:val="ru-RU"/>
              </w:rPr>
              <w:t>2019</w:t>
            </w:r>
            <w:r w:rsidR="00E52037">
              <w:rPr>
                <w:sz w:val="24"/>
                <w:szCs w:val="24"/>
                <w:lang w:val="ru-RU"/>
              </w:rPr>
              <w:t> </w:t>
            </w:r>
            <w:r w:rsidRPr="00A0701B">
              <w:rPr>
                <w:sz w:val="24"/>
                <w:szCs w:val="24"/>
                <w:lang w:val="ru-RU"/>
              </w:rPr>
              <w:t xml:space="preserve">году и далее) по договорам, признание которых ожидается в следующие </w:t>
            </w:r>
            <w:r w:rsidR="00E52037" w:rsidRPr="00A0701B">
              <w:rPr>
                <w:sz w:val="24"/>
                <w:szCs w:val="24"/>
                <w:lang w:val="ru-RU"/>
              </w:rPr>
              <w:t>12</w:t>
            </w:r>
            <w:r w:rsidR="00E52037">
              <w:rPr>
                <w:sz w:val="24"/>
                <w:szCs w:val="24"/>
                <w:lang w:val="ru-RU"/>
              </w:rPr>
              <w:t> </w:t>
            </w:r>
            <w:r w:rsidRPr="00A0701B">
              <w:rPr>
                <w:sz w:val="24"/>
                <w:szCs w:val="24"/>
                <w:lang w:val="ru-RU"/>
              </w:rPr>
              <w:t xml:space="preserve">месяцев (в </w:t>
            </w:r>
            <w:r w:rsidR="00E52037" w:rsidRPr="00A0701B">
              <w:rPr>
                <w:sz w:val="24"/>
                <w:szCs w:val="24"/>
                <w:lang w:val="ru-RU"/>
              </w:rPr>
              <w:t>2018</w:t>
            </w:r>
            <w:r w:rsidR="00E52037">
              <w:rPr>
                <w:sz w:val="24"/>
                <w:szCs w:val="24"/>
                <w:lang w:val="ru-RU"/>
              </w:rPr>
              <w:t> </w:t>
            </w:r>
            <w:r w:rsidRPr="00A0701B">
              <w:rPr>
                <w:sz w:val="24"/>
                <w:szCs w:val="24"/>
                <w:lang w:val="ru-RU"/>
              </w:rPr>
              <w:t>году)</w:t>
            </w:r>
            <w:r w:rsidR="00E52037">
              <w:rPr>
                <w:sz w:val="24"/>
                <w:szCs w:val="24"/>
                <w:lang w:val="ru-RU"/>
              </w:rPr>
              <w:t>,</w:t>
            </w:r>
            <w:r w:rsidRPr="00A0701B">
              <w:rPr>
                <w:sz w:val="24"/>
                <w:szCs w:val="24"/>
                <w:lang w:val="ru-RU"/>
              </w:rPr>
              <w:t xml:space="preserve"> для сегмента </w:t>
            </w:r>
            <w:r w:rsidRPr="00A0701B">
              <w:rPr>
                <w:sz w:val="24"/>
                <w:szCs w:val="24"/>
              </w:rPr>
              <w:t>lob</w:t>
            </w:r>
            <w:r w:rsidRPr="00A0701B">
              <w:rPr>
                <w:sz w:val="24"/>
                <w:szCs w:val="24"/>
                <w:lang w:val="ru-RU"/>
              </w:rPr>
              <w:t xml:space="preserve">, исключая ожидаемую заработанную премию в течение </w:t>
            </w:r>
            <w:r w:rsidR="00E52037" w:rsidRPr="00A0701B">
              <w:rPr>
                <w:sz w:val="24"/>
                <w:szCs w:val="24"/>
                <w:lang w:val="ru-RU"/>
              </w:rPr>
              <w:t>12</w:t>
            </w:r>
            <w:r w:rsidR="00E52037">
              <w:rPr>
                <w:sz w:val="24"/>
                <w:szCs w:val="24"/>
                <w:lang w:val="ru-RU"/>
              </w:rPr>
              <w:t> </w:t>
            </w:r>
            <w:r w:rsidRPr="00A0701B">
              <w:rPr>
                <w:sz w:val="24"/>
                <w:szCs w:val="24"/>
                <w:lang w:val="ru-RU"/>
              </w:rPr>
              <w:t xml:space="preserve">месяцев после отчетной даты (в </w:t>
            </w:r>
            <w:r w:rsidR="00E52037" w:rsidRPr="00A0701B">
              <w:rPr>
                <w:sz w:val="24"/>
                <w:szCs w:val="24"/>
                <w:lang w:val="ru-RU"/>
              </w:rPr>
              <w:t>2018</w:t>
            </w:r>
            <w:r w:rsidR="00E52037">
              <w:rPr>
                <w:sz w:val="24"/>
                <w:szCs w:val="24"/>
                <w:lang w:val="ru-RU"/>
              </w:rPr>
              <w:t> </w:t>
            </w:r>
            <w:r w:rsidRPr="00A0701B">
              <w:rPr>
                <w:sz w:val="24"/>
                <w:szCs w:val="24"/>
                <w:lang w:val="ru-RU"/>
              </w:rPr>
              <w:t>году).</w:t>
            </w:r>
          </w:p>
        </w:tc>
      </w:tr>
    </w:tbl>
    <w:p w14:paraId="6E5E7F44" w14:textId="77777777" w:rsidR="00AC6FE9" w:rsidRPr="00A0701B" w:rsidRDefault="00AC6FE9" w:rsidP="00DA599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01E764" w14:textId="37033A37" w:rsidR="004E67A4" w:rsidRPr="00DA5990" w:rsidRDefault="00AC6FE9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объема по риску резервов по </w:t>
      </w:r>
      <w:r w:rsidR="00CA1877" w:rsidRPr="00A0701B">
        <w:rPr>
          <w:rFonts w:ascii="Times New Roman" w:hAnsi="Times New Roman" w:cs="Times New Roman"/>
          <w:sz w:val="24"/>
          <w:szCs w:val="24"/>
          <w:lang w:val="ru-RU"/>
        </w:rPr>
        <w:t>отдельному сегменту</w:t>
      </w:r>
      <w:r w:rsidR="00472E31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(res,lob)</m:t>
            </m:r>
          </m:sub>
        </m:sSub>
      </m:oMath>
      <w:r w:rsidR="00472E31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должен равняться наилучшей оценке резерва убытков по </w:t>
      </w:r>
      <w:r w:rsidR="00CA1877" w:rsidRPr="00A0701B">
        <w:rPr>
          <w:rFonts w:ascii="Times New Roman" w:hAnsi="Times New Roman" w:cs="Times New Roman"/>
          <w:sz w:val="24"/>
          <w:szCs w:val="24"/>
          <w:lang w:val="ru-RU"/>
        </w:rPr>
        <w:t>данному сегменту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. Показатель объема не может быть отрицательной величиной.</w:t>
      </w:r>
    </w:p>
    <w:p w14:paraId="3A55996B" w14:textId="7CAEB8E4" w:rsidR="004D7127" w:rsidRPr="00A0701B" w:rsidRDefault="003B467B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 xml:space="preserve">Общее </w:t>
      </w:r>
      <w:r w:rsidR="004D7127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стандартное отклонение </w:t>
      </w:r>
      <w:r w:rsidR="004D7127" w:rsidRPr="00A0701B">
        <w:rPr>
          <w:rFonts w:ascii="Times New Roman" w:eastAsiaTheme="minorEastAsia" w:hAnsi="Times New Roman" w:cs="Times New Roman"/>
          <w:i/>
          <w:sz w:val="24"/>
          <w:szCs w:val="24"/>
          <w:lang w:val="ru-RU"/>
        </w:rPr>
        <w:t xml:space="preserve">σ </w:t>
      </w:r>
      <w:r w:rsidR="004D7127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определяется по следующей формуле:</w:t>
      </w:r>
    </w:p>
    <w:p w14:paraId="00EB6CED" w14:textId="65D48E3B" w:rsidR="004D7127" w:rsidRPr="00A0701B" w:rsidRDefault="004D7127" w:rsidP="0026297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∙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r,c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CorrLob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i,j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j</m:t>
                    </m:r>
                  </m:sub>
                </m:sSub>
              </m:e>
            </m:nary>
          </m:e>
        </m:rad>
      </m:oMath>
      <w:r w:rsidR="00E52037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</w:p>
    <w:p w14:paraId="62BE6569" w14:textId="77777777" w:rsidR="004D7127" w:rsidRPr="00A0701B" w:rsidRDefault="004D7127" w:rsidP="00DA5990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где</w:t>
      </w:r>
    </w:p>
    <w:tbl>
      <w:tblPr>
        <w:tblW w:w="8755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81"/>
        <w:gridCol w:w="7099"/>
      </w:tblGrid>
      <w:tr w:rsidR="004D7127" w:rsidRPr="00A0701B" w14:paraId="6587173D" w14:textId="77777777" w:rsidTr="00F6015B">
        <w:trPr>
          <w:trHeight w:val="283"/>
        </w:trPr>
        <w:tc>
          <w:tcPr>
            <w:tcW w:w="1275" w:type="dxa"/>
            <w:shd w:val="clear" w:color="auto" w:fill="FFFFFF"/>
          </w:tcPr>
          <w:p w14:paraId="3D455885" w14:textId="265EFD46" w:rsidR="004D7127" w:rsidRPr="00A0701B" w:rsidRDefault="000765AF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</w:rPr>
            </w:pPr>
            <w:proofErr w:type="spellStart"/>
            <w:r w:rsidRPr="00A0701B">
              <w:rPr>
                <w:i/>
                <w:sz w:val="24"/>
                <w:szCs w:val="24"/>
              </w:rPr>
              <w:t>i</w:t>
            </w:r>
            <w:proofErr w:type="spellEnd"/>
            <w:r w:rsidR="004D7127" w:rsidRPr="00A0701B">
              <w:rPr>
                <w:i/>
                <w:sz w:val="24"/>
                <w:szCs w:val="24"/>
              </w:rPr>
              <w:t xml:space="preserve">, </w:t>
            </w:r>
            <w:r w:rsidRPr="00A0701B">
              <w:rPr>
                <w:i/>
                <w:sz w:val="24"/>
                <w:szCs w:val="24"/>
              </w:rPr>
              <w:t>j</w:t>
            </w:r>
          </w:p>
        </w:tc>
        <w:tc>
          <w:tcPr>
            <w:tcW w:w="381" w:type="dxa"/>
            <w:shd w:val="clear" w:color="auto" w:fill="FFFFFF"/>
          </w:tcPr>
          <w:p w14:paraId="2861B06C" w14:textId="10E83A0A" w:rsidR="004D7127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099" w:type="dxa"/>
            <w:shd w:val="clear" w:color="auto" w:fill="FFFFFF"/>
          </w:tcPr>
          <w:p w14:paraId="46B9EB5D" w14:textId="38074FC0" w:rsidR="004D7127" w:rsidRPr="00262974" w:rsidRDefault="00E52037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A0701B">
              <w:rPr>
                <w:sz w:val="24"/>
                <w:szCs w:val="24"/>
                <w:lang w:val="ru-RU"/>
              </w:rPr>
              <w:t xml:space="preserve">се </w:t>
            </w:r>
            <w:r w:rsidR="00CA745C" w:rsidRPr="00A0701B">
              <w:rPr>
                <w:sz w:val="24"/>
                <w:szCs w:val="24"/>
                <w:lang w:val="ru-RU"/>
              </w:rPr>
              <w:t xml:space="preserve">индексы типа </w:t>
            </w:r>
            <w:r w:rsidR="00CA745C" w:rsidRPr="00A0701B">
              <w:rPr>
                <w:sz w:val="24"/>
                <w:szCs w:val="24"/>
              </w:rPr>
              <w:t>(lob)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4D7127" w:rsidRPr="00B31FAB" w14:paraId="4741ABB7" w14:textId="77777777" w:rsidTr="00F6015B">
        <w:trPr>
          <w:trHeight w:val="283"/>
        </w:trPr>
        <w:tc>
          <w:tcPr>
            <w:tcW w:w="1275" w:type="dxa"/>
            <w:shd w:val="clear" w:color="auto" w:fill="FFFFFF"/>
          </w:tcPr>
          <w:p w14:paraId="0A9371CE" w14:textId="6A5B70F5" w:rsidR="004D7127" w:rsidRPr="00A0701B" w:rsidRDefault="00B31FAB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CorrLob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i,j</m:t>
                    </m:r>
                  </m:sub>
                </m:sSub>
              </m:oMath>
            </m:oMathPara>
          </w:p>
        </w:tc>
        <w:tc>
          <w:tcPr>
            <w:tcW w:w="381" w:type="dxa"/>
            <w:shd w:val="clear" w:color="auto" w:fill="FFFFFF"/>
          </w:tcPr>
          <w:p w14:paraId="55819BDD" w14:textId="0B8B427C" w:rsidR="004D7127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099" w:type="dxa"/>
            <w:shd w:val="clear" w:color="auto" w:fill="FFFFFF"/>
          </w:tcPr>
          <w:p w14:paraId="684557AE" w14:textId="36B7F1F1" w:rsidR="004D7127" w:rsidRPr="00A0701B" w:rsidRDefault="00E52037" w:rsidP="008330D5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57264F" w:rsidRPr="00A0701B">
              <w:rPr>
                <w:sz w:val="24"/>
                <w:szCs w:val="24"/>
                <w:lang w:val="ru-RU"/>
              </w:rPr>
              <w:t xml:space="preserve">оэффициент </w:t>
            </w:r>
            <w:r w:rsidR="00CA745C" w:rsidRPr="00A0701B">
              <w:rPr>
                <w:sz w:val="24"/>
                <w:szCs w:val="24"/>
                <w:lang w:val="ru-RU"/>
              </w:rPr>
              <w:t>корреляци</w:t>
            </w:r>
            <w:r w:rsidR="0057264F" w:rsidRPr="00A0701B">
              <w:rPr>
                <w:sz w:val="24"/>
                <w:szCs w:val="24"/>
                <w:lang w:val="ru-RU"/>
              </w:rPr>
              <w:t xml:space="preserve">и риска премий и резервов для отдельных сегментов </w:t>
            </w:r>
            <w:proofErr w:type="spellStart"/>
            <w:r w:rsidR="000765AF" w:rsidRPr="00A0701B">
              <w:rPr>
                <w:sz w:val="24"/>
                <w:szCs w:val="24"/>
              </w:rPr>
              <w:t>i</w:t>
            </w:r>
            <w:proofErr w:type="spellEnd"/>
            <w:r w:rsidR="000765AF" w:rsidRPr="00A0701B">
              <w:rPr>
                <w:sz w:val="24"/>
                <w:szCs w:val="24"/>
                <w:lang w:val="ru-RU"/>
              </w:rPr>
              <w:t xml:space="preserve"> </w:t>
            </w:r>
            <w:r w:rsidR="0057264F" w:rsidRPr="00A0701B">
              <w:rPr>
                <w:sz w:val="24"/>
                <w:szCs w:val="24"/>
                <w:lang w:val="ru-RU"/>
              </w:rPr>
              <w:t xml:space="preserve">и </w:t>
            </w:r>
            <w:r w:rsidR="000765AF" w:rsidRPr="00A0701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4D7127" w:rsidRPr="00B31FAB" w14:paraId="3DC20FF4" w14:textId="77777777" w:rsidTr="00F6015B">
        <w:trPr>
          <w:trHeight w:val="283"/>
        </w:trPr>
        <w:tc>
          <w:tcPr>
            <w:tcW w:w="1275" w:type="dxa"/>
            <w:shd w:val="clear" w:color="auto" w:fill="FFFFFF"/>
          </w:tcPr>
          <w:p w14:paraId="3D656ED6" w14:textId="04163CB3" w:rsidR="004D7127" w:rsidRPr="00A0701B" w:rsidRDefault="000765AF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sz w:val="24"/>
                <w:szCs w:val="24"/>
              </w:rPr>
            </w:pPr>
            <w:r w:rsidRPr="00A0701B">
              <w:rPr>
                <w:i/>
                <w:sz w:val="24"/>
                <w:szCs w:val="24"/>
                <w:lang w:val="en-US"/>
              </w:rPr>
              <w:t>V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="004D7127" w:rsidRPr="00A0701B">
              <w:rPr>
                <w:sz w:val="24"/>
                <w:szCs w:val="24"/>
              </w:rPr>
              <w:t xml:space="preserve">, </w:t>
            </w:r>
            <w:proofErr w:type="spellStart"/>
            <w:r w:rsidRPr="00A0701B">
              <w:rPr>
                <w:i/>
                <w:sz w:val="24"/>
                <w:szCs w:val="24"/>
                <w:lang w:val="en-US"/>
              </w:rPr>
              <w:t>V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381" w:type="dxa"/>
            <w:shd w:val="clear" w:color="auto" w:fill="FFFFFF"/>
          </w:tcPr>
          <w:p w14:paraId="7759DC09" w14:textId="49C9751B" w:rsidR="004D7127" w:rsidRPr="00E52037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099" w:type="dxa"/>
            <w:shd w:val="clear" w:color="auto" w:fill="FFFFFF"/>
          </w:tcPr>
          <w:p w14:paraId="4D5B2C5F" w14:textId="509E5C62" w:rsidR="004D7127" w:rsidRPr="00A0701B" w:rsidRDefault="00E52037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0701B">
              <w:rPr>
                <w:sz w:val="24"/>
                <w:szCs w:val="24"/>
                <w:lang w:val="ru-RU"/>
              </w:rPr>
              <w:t xml:space="preserve">оказатели </w:t>
            </w:r>
            <w:r w:rsidR="00CA745C" w:rsidRPr="00A0701B">
              <w:rPr>
                <w:sz w:val="24"/>
                <w:szCs w:val="24"/>
                <w:lang w:val="ru-RU"/>
              </w:rPr>
              <w:t xml:space="preserve">объема по отдельным </w:t>
            </w:r>
            <w:r w:rsidR="0057264F" w:rsidRPr="00A0701B">
              <w:rPr>
                <w:sz w:val="24"/>
                <w:szCs w:val="24"/>
                <w:lang w:val="ru-RU"/>
              </w:rPr>
              <w:t xml:space="preserve">сегментам </w:t>
            </w:r>
            <w:proofErr w:type="spellStart"/>
            <w:r w:rsidR="000765AF" w:rsidRPr="00A0701B">
              <w:rPr>
                <w:sz w:val="24"/>
                <w:szCs w:val="24"/>
              </w:rPr>
              <w:t>i</w:t>
            </w:r>
            <w:proofErr w:type="spellEnd"/>
            <w:r w:rsidR="000765AF" w:rsidRPr="00A0701B">
              <w:rPr>
                <w:sz w:val="24"/>
                <w:szCs w:val="24"/>
                <w:lang w:val="ru-RU"/>
              </w:rPr>
              <w:t xml:space="preserve"> </w:t>
            </w:r>
            <w:r w:rsidR="0057264F" w:rsidRPr="00A0701B">
              <w:rPr>
                <w:sz w:val="24"/>
                <w:szCs w:val="24"/>
                <w:lang w:val="ru-RU"/>
              </w:rPr>
              <w:t xml:space="preserve">и </w:t>
            </w:r>
            <w:r w:rsidR="000765AF" w:rsidRPr="00A0701B">
              <w:rPr>
                <w:sz w:val="24"/>
                <w:szCs w:val="24"/>
              </w:rPr>
              <w:t>j</w:t>
            </w:r>
            <w:r w:rsidR="00CA745C" w:rsidRPr="00A0701B">
              <w:rPr>
                <w:sz w:val="24"/>
                <w:szCs w:val="24"/>
                <w:lang w:val="ru-RU"/>
              </w:rPr>
              <w:t>, определяемые по вышеприведенной формуле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451A2B09" w14:textId="619FDD2A" w:rsidR="00AC6FE9" w:rsidRPr="00A0701B" w:rsidRDefault="00AC6FE9" w:rsidP="00262974">
      <w:pPr>
        <w:pStyle w:val="ListParagraph"/>
        <w:numPr>
          <w:ilvl w:val="0"/>
          <w:numId w:val="22"/>
        </w:numPr>
        <w:spacing w:before="36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Стандартное отклонение по риску премий и резервов по </w:t>
      </w:r>
      <w:r w:rsidR="00CA1877" w:rsidRPr="00A0701B">
        <w:rPr>
          <w:rFonts w:ascii="Times New Roman" w:hAnsi="Times New Roman" w:cs="Times New Roman"/>
          <w:sz w:val="24"/>
          <w:szCs w:val="24"/>
          <w:lang w:val="ru-RU"/>
        </w:rPr>
        <w:t>каждому отдельному сегменту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следующим образом:</w:t>
      </w:r>
    </w:p>
    <w:p w14:paraId="17F1E0DF" w14:textId="7AA56C21" w:rsidR="00AC6FE9" w:rsidRPr="00A0701B" w:rsidRDefault="00B31FAB" w:rsidP="0026297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(prem, lob)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prem,lob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(prem,lob)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(prem,lob)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(res,lob)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(res,lob)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(res, lob)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res,lob</m:t>
                        </m:r>
                      </m:e>
                    </m:d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bSup>
              </m:e>
            </m:ra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V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prem,lob</m:t>
                    </m:r>
                  </m:e>
                </m:d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V</m:t>
                </m:r>
              </m:e>
              <m: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res,lob</m:t>
                    </m:r>
                  </m:e>
                </m:d>
              </m:sub>
            </m:sSub>
          </m:den>
        </m:f>
      </m:oMath>
      <w:r w:rsidR="00E52037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</w:p>
    <w:p w14:paraId="354C945E" w14:textId="77777777" w:rsidR="00AC6FE9" w:rsidRPr="00A0701B" w:rsidRDefault="00AC6FE9" w:rsidP="00DA599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tbl>
      <w:tblPr>
        <w:tblW w:w="8755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341"/>
        <w:gridCol w:w="7281"/>
      </w:tblGrid>
      <w:tr w:rsidR="00F50FAD" w:rsidRPr="00B31FAB" w14:paraId="4041857F" w14:textId="77777777" w:rsidTr="00F6015B">
        <w:trPr>
          <w:trHeight w:val="283"/>
        </w:trPr>
        <w:tc>
          <w:tcPr>
            <w:tcW w:w="1133" w:type="dxa"/>
            <w:shd w:val="clear" w:color="auto" w:fill="FFFFFF"/>
          </w:tcPr>
          <w:p w14:paraId="55E4AD51" w14:textId="77777777" w:rsidR="00F50FAD" w:rsidRPr="00A0701B" w:rsidRDefault="00F50FAD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</w:rPr>
            </w:pPr>
            <w:r w:rsidRPr="00A0701B">
              <w:rPr>
                <w:i/>
                <w:sz w:val="24"/>
                <w:szCs w:val="24"/>
              </w:rPr>
              <w:t>σ</w:t>
            </w:r>
            <w:r w:rsidRPr="00A0701B">
              <w:rPr>
                <w:i/>
                <w:sz w:val="24"/>
                <w:szCs w:val="24"/>
                <w:vertAlign w:val="subscript"/>
                <w:lang w:val="ru-RU"/>
              </w:rPr>
              <w:t>(</w:t>
            </w:r>
            <w:proofErr w:type="spellStart"/>
            <w:r w:rsidRPr="00A0701B">
              <w:rPr>
                <w:i/>
                <w:sz w:val="24"/>
                <w:szCs w:val="24"/>
                <w:vertAlign w:val="subscript"/>
              </w:rPr>
              <w:t>prem,lob</w:t>
            </w:r>
            <w:proofErr w:type="spellEnd"/>
            <w:r w:rsidRPr="00A0701B">
              <w:rPr>
                <w:i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41" w:type="dxa"/>
            <w:shd w:val="clear" w:color="auto" w:fill="FFFFFF"/>
          </w:tcPr>
          <w:p w14:paraId="40D9EE18" w14:textId="664AF1B1" w:rsidR="00F50FAD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281" w:type="dxa"/>
            <w:shd w:val="clear" w:color="auto" w:fill="FFFFFF"/>
          </w:tcPr>
          <w:p w14:paraId="038FD741" w14:textId="64270830" w:rsidR="00F50FAD" w:rsidRPr="00E52037" w:rsidRDefault="00E52037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A0701B">
              <w:rPr>
                <w:sz w:val="24"/>
                <w:szCs w:val="24"/>
                <w:lang w:val="ru-RU"/>
              </w:rPr>
              <w:t xml:space="preserve">тандартное </w:t>
            </w:r>
            <w:r w:rsidR="00F50FAD" w:rsidRPr="00A0701B">
              <w:rPr>
                <w:sz w:val="24"/>
                <w:szCs w:val="24"/>
                <w:lang w:val="ru-RU"/>
              </w:rPr>
              <w:t xml:space="preserve">отклонение по риску премий по сегменту </w:t>
            </w:r>
            <w:r w:rsidR="00F50FAD" w:rsidRPr="00A0701B">
              <w:rPr>
                <w:sz w:val="24"/>
                <w:szCs w:val="24"/>
              </w:rPr>
              <w:t>lob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AC6FE9" w:rsidRPr="00B31FAB" w14:paraId="644AE600" w14:textId="77777777" w:rsidTr="00F6015B">
        <w:trPr>
          <w:trHeight w:val="283"/>
        </w:trPr>
        <w:tc>
          <w:tcPr>
            <w:tcW w:w="1133" w:type="dxa"/>
            <w:shd w:val="clear" w:color="auto" w:fill="FFFFFF"/>
          </w:tcPr>
          <w:p w14:paraId="2CAB2B69" w14:textId="77777777" w:rsidR="00AC6FE9" w:rsidRPr="00A0701B" w:rsidRDefault="00AC6FE9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</w:rPr>
            </w:pPr>
            <w:r w:rsidRPr="00A0701B">
              <w:rPr>
                <w:i/>
                <w:sz w:val="24"/>
                <w:szCs w:val="24"/>
              </w:rPr>
              <w:t>σ</w:t>
            </w:r>
            <w:r w:rsidRPr="00A0701B">
              <w:rPr>
                <w:i/>
                <w:sz w:val="24"/>
                <w:szCs w:val="24"/>
                <w:vertAlign w:val="subscript"/>
              </w:rPr>
              <w:t>(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res</w:t>
            </w:r>
            <w:r w:rsidRPr="00A0701B">
              <w:rPr>
                <w:i/>
                <w:sz w:val="24"/>
                <w:szCs w:val="24"/>
                <w:vertAlign w:val="subscript"/>
              </w:rPr>
              <w:t>,</w:t>
            </w:r>
            <w:proofErr w:type="spellStart"/>
            <w:r w:rsidRPr="00A0701B">
              <w:rPr>
                <w:i/>
                <w:sz w:val="24"/>
                <w:szCs w:val="24"/>
                <w:vertAlign w:val="subscript"/>
              </w:rPr>
              <w:t>lob</w:t>
            </w:r>
            <w:proofErr w:type="spellEnd"/>
            <w:r w:rsidRPr="00A0701B">
              <w:rPr>
                <w:i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41" w:type="dxa"/>
            <w:shd w:val="clear" w:color="auto" w:fill="FFFFFF"/>
          </w:tcPr>
          <w:p w14:paraId="3DAD1F8E" w14:textId="48720110" w:rsidR="00AC6FE9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281" w:type="dxa"/>
            <w:shd w:val="clear" w:color="auto" w:fill="FFFFFF"/>
          </w:tcPr>
          <w:p w14:paraId="35A05E35" w14:textId="589FA4AB" w:rsidR="00AC6FE9" w:rsidRPr="00E52037" w:rsidRDefault="00E52037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тандартное отклонение по риску резервов по сегменту </w:t>
            </w:r>
            <w:r w:rsidR="00AC6FE9" w:rsidRPr="00A0701B">
              <w:rPr>
                <w:sz w:val="24"/>
                <w:szCs w:val="24"/>
              </w:rPr>
              <w:t>lob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AC6FE9" w:rsidRPr="00B31FAB" w14:paraId="428748AE" w14:textId="77777777" w:rsidTr="00F6015B">
        <w:trPr>
          <w:trHeight w:val="283"/>
        </w:trPr>
        <w:tc>
          <w:tcPr>
            <w:tcW w:w="1133" w:type="dxa"/>
            <w:shd w:val="clear" w:color="auto" w:fill="FFFFFF"/>
          </w:tcPr>
          <w:p w14:paraId="28668A88" w14:textId="77777777" w:rsidR="00AC6FE9" w:rsidRPr="00A0701B" w:rsidRDefault="00AC6FE9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A0701B">
              <w:rPr>
                <w:i/>
                <w:sz w:val="24"/>
                <w:szCs w:val="24"/>
                <w:lang w:val="en-US"/>
              </w:rPr>
              <w:t>V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prem,lob</w:t>
            </w:r>
            <w:proofErr w:type="spellEnd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341" w:type="dxa"/>
            <w:shd w:val="clear" w:color="auto" w:fill="FFFFFF"/>
          </w:tcPr>
          <w:p w14:paraId="00DD58E7" w14:textId="7F7D1680" w:rsidR="00AC6FE9" w:rsidRPr="00262974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281" w:type="dxa"/>
            <w:shd w:val="clear" w:color="auto" w:fill="FFFFFF"/>
          </w:tcPr>
          <w:p w14:paraId="46A8530F" w14:textId="7CD5194B" w:rsidR="00AC6FE9" w:rsidRPr="00E52037" w:rsidRDefault="00E52037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оказатель объема по риску премий по сегменту </w:t>
            </w:r>
            <w:r w:rsidR="00AC6FE9" w:rsidRPr="00A0701B">
              <w:rPr>
                <w:sz w:val="24"/>
                <w:szCs w:val="24"/>
              </w:rPr>
              <w:t>lob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AC6FE9" w:rsidRPr="00B31FAB" w14:paraId="58D7B976" w14:textId="77777777" w:rsidTr="00F6015B">
        <w:trPr>
          <w:trHeight w:val="283"/>
        </w:trPr>
        <w:tc>
          <w:tcPr>
            <w:tcW w:w="1133" w:type="dxa"/>
            <w:shd w:val="clear" w:color="auto" w:fill="FFFFFF"/>
          </w:tcPr>
          <w:p w14:paraId="5AFC2588" w14:textId="77777777" w:rsidR="00AC6FE9" w:rsidRPr="00A0701B" w:rsidRDefault="00AC6FE9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  <w:lang w:val="en-US"/>
              </w:rPr>
            </w:pPr>
            <w:r w:rsidRPr="00A0701B">
              <w:rPr>
                <w:i/>
                <w:sz w:val="24"/>
                <w:szCs w:val="24"/>
                <w:lang w:val="en-US"/>
              </w:rPr>
              <w:t>V</w:t>
            </w:r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(</w:t>
            </w:r>
            <w:proofErr w:type="spellStart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res,lob</w:t>
            </w:r>
            <w:proofErr w:type="spellEnd"/>
            <w:r w:rsidRPr="00A0701B">
              <w:rPr>
                <w:i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341" w:type="dxa"/>
            <w:shd w:val="clear" w:color="auto" w:fill="FFFFFF"/>
          </w:tcPr>
          <w:p w14:paraId="1638C8F2" w14:textId="16384890" w:rsidR="00AC6FE9" w:rsidRPr="00E52037" w:rsidRDefault="00E52037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7281" w:type="dxa"/>
            <w:shd w:val="clear" w:color="auto" w:fill="FFFFFF"/>
          </w:tcPr>
          <w:p w14:paraId="1B81AD08" w14:textId="08446899" w:rsidR="00AC6FE9" w:rsidRPr="00E52037" w:rsidRDefault="00E52037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AC6FE9" w:rsidRPr="00A0701B">
              <w:rPr>
                <w:sz w:val="24"/>
                <w:szCs w:val="24"/>
                <w:lang w:val="ru-RU"/>
              </w:rPr>
              <w:t xml:space="preserve">оказатель объема по риску резервов по сегменту </w:t>
            </w:r>
            <w:r w:rsidR="00AC6FE9" w:rsidRPr="00A0701B">
              <w:rPr>
                <w:sz w:val="24"/>
                <w:szCs w:val="24"/>
              </w:rPr>
              <w:t>lob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334DA729" w14:textId="68353CAA" w:rsidR="00BC3DB2" w:rsidRPr="00A0701B" w:rsidRDefault="00BC3DB2" w:rsidP="00DA599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F93D222" w14:textId="24A13742" w:rsidR="00926666" w:rsidRPr="00A0701B" w:rsidRDefault="00A47A19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Риск премий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Для целей калибровки параметра </w:t>
      </w:r>
      <w:r w:rsidR="00332B10" w:rsidRPr="00A0701B">
        <w:rPr>
          <w:rFonts w:ascii="Times New Roman" w:hAnsi="Times New Roman" w:cs="Times New Roman"/>
          <w:i/>
          <w:sz w:val="24"/>
          <w:szCs w:val="24"/>
        </w:rPr>
        <w:t>σ</w:t>
      </w:r>
      <w:r w:rsidR="00332B10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(</w:t>
      </w:r>
      <w:proofErr w:type="spellStart"/>
      <w:r w:rsidR="00332B10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prem</w:t>
      </w:r>
      <w:proofErr w:type="spellEnd"/>
      <w:r w:rsidR="00332B10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,</w:t>
      </w:r>
      <w:r w:rsidR="00332B10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lob</w:t>
      </w:r>
      <w:r w:rsidR="00332B10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)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будут использованы методы</w:t>
      </w:r>
      <w:r w:rsidR="00816014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, прописанные в </w:t>
      </w:r>
      <w:r w:rsidR="0020382D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документе </w:t>
      </w:r>
      <w:r w:rsidR="0020382D" w:rsidRPr="00A0701B">
        <w:rPr>
          <w:rFonts w:ascii="Times New Roman" w:hAnsi="Times New Roman" w:cs="Times New Roman"/>
          <w:sz w:val="24"/>
          <w:szCs w:val="24"/>
        </w:rPr>
        <w:t>Calibration</w:t>
      </w:r>
      <w:r w:rsidR="0020382D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82D" w:rsidRPr="00A0701B">
        <w:rPr>
          <w:rFonts w:ascii="Times New Roman" w:hAnsi="Times New Roman" w:cs="Times New Roman"/>
          <w:sz w:val="24"/>
          <w:szCs w:val="24"/>
        </w:rPr>
        <w:t>Paper</w:t>
      </w:r>
      <w:bookmarkStart w:id="2" w:name="_Ref527036655"/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0382D" w:rsidRPr="00A0701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bookmarkEnd w:id="2"/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>. На первоначальном этапе при запросе данных у страховщиков будет использоваться только метод №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0382D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(см. приложение А)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>. Остальные методы будут использоваться Банком России на последующих этапах количественного исследования</w:t>
      </w:r>
      <w:r w:rsidR="004E67A4" w:rsidRPr="00A07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7A4" w:rsidRPr="00A0701B">
        <w:rPr>
          <w:rFonts w:ascii="Times New Roman" w:hAnsi="Times New Roman" w:cs="Times New Roman"/>
          <w:sz w:val="24"/>
          <w:szCs w:val="24"/>
          <w:lang w:val="ru-RU"/>
        </w:rPr>
        <w:t>Так как методы</w:t>
      </w:r>
      <w:r w:rsidR="00D43577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43577" w:rsidRPr="00A070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43577" w:rsidRPr="00A0701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требуют наличия данных от всех компаний, входящих в фокус-группу</w:t>
      </w:r>
      <w:r w:rsidR="004E67A4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>только метод №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32B1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1 будет реализован в шаблоне запроса данных. </w:t>
      </w:r>
    </w:p>
    <w:p w14:paraId="2EB82809" w14:textId="3A00805C" w:rsidR="00926666" w:rsidRPr="00A0701B" w:rsidRDefault="00A47A19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lastRenderedPageBreak/>
        <w:t>Риск резервов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7B33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Для целей калибровки параметра </w:t>
      </w:r>
      <w:r w:rsidR="00BA7B33" w:rsidRPr="00A0701B">
        <w:rPr>
          <w:rFonts w:ascii="Times New Roman" w:hAnsi="Times New Roman" w:cs="Times New Roman"/>
          <w:i/>
          <w:sz w:val="24"/>
          <w:szCs w:val="24"/>
        </w:rPr>
        <w:t>σ</w:t>
      </w:r>
      <w:r w:rsidR="00BA7B33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(</w:t>
      </w:r>
      <w:r w:rsidR="00BA7B33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res</w:t>
      </w:r>
      <w:r w:rsidR="00BA7B33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,</w:t>
      </w:r>
      <w:r w:rsidR="00BA7B33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lob</w:t>
      </w:r>
      <w:r w:rsidR="00BA7B33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)</w:t>
      </w:r>
      <w:r w:rsidR="00BA7B33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будут использованы методы, прописанные в </w:t>
      </w:r>
      <w:r w:rsidR="0020382D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документе </w:t>
      </w:r>
      <w:r w:rsidR="0020382D" w:rsidRPr="00A0701B">
        <w:rPr>
          <w:rFonts w:ascii="Times New Roman" w:hAnsi="Times New Roman" w:cs="Times New Roman"/>
          <w:sz w:val="24"/>
          <w:szCs w:val="24"/>
        </w:rPr>
        <w:t>Calibration</w:t>
      </w:r>
      <w:r w:rsidR="0020382D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82D" w:rsidRPr="00A0701B">
        <w:rPr>
          <w:rFonts w:ascii="Times New Roman" w:hAnsi="Times New Roman" w:cs="Times New Roman"/>
          <w:sz w:val="24"/>
          <w:szCs w:val="24"/>
        </w:rPr>
        <w:t>Paper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NOTEREF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_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Ref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>527036655 \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h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 \*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MERGEFORMAT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BA7B33" w:rsidRPr="00A0701B">
        <w:rPr>
          <w:rFonts w:ascii="Times New Roman" w:hAnsi="Times New Roman" w:cs="Times New Roman"/>
          <w:sz w:val="24"/>
          <w:szCs w:val="24"/>
          <w:lang w:val="ru-RU"/>
        </w:rPr>
        <w:t>. На первоначальном этапе при запросе данных у страховщиков будет использоваться только метод №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A7B33" w:rsidRPr="00A070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0382D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(см. приложение Б)</w:t>
      </w:r>
      <w:r w:rsidR="00BA7B33" w:rsidRPr="00A0701B">
        <w:rPr>
          <w:rFonts w:ascii="Times New Roman" w:hAnsi="Times New Roman" w:cs="Times New Roman"/>
          <w:sz w:val="24"/>
          <w:szCs w:val="24"/>
          <w:lang w:val="ru-RU"/>
        </w:rPr>
        <w:t>. Остальные методы будут использоваться Банком России на последующих этапах количественного исследования. Так как методы</w:t>
      </w:r>
      <w:r w:rsidR="00D43577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43577" w:rsidRPr="00A070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43577" w:rsidRPr="00A0701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A7B33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требуют наличия данных от всех компаний, входящих в фокус-группу, только метод №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A7B33" w:rsidRPr="00A0701B">
        <w:rPr>
          <w:rFonts w:ascii="Times New Roman" w:hAnsi="Times New Roman" w:cs="Times New Roman"/>
          <w:sz w:val="24"/>
          <w:szCs w:val="24"/>
          <w:lang w:val="ru-RU"/>
        </w:rPr>
        <w:t>1 будет реализован в шаблоне запроса данных.</w:t>
      </w:r>
    </w:p>
    <w:p w14:paraId="059DBAA1" w14:textId="77777777" w:rsidR="00472E31" w:rsidRPr="00A0701B" w:rsidRDefault="00472E31" w:rsidP="00DA59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D7EFBE5" w14:textId="4049189F" w:rsidR="00472E31" w:rsidRPr="00A0701B" w:rsidRDefault="00472E31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Калибровка будет проведена с использованием данных брутто- и нетто-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>перестраховани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2791C6E" w14:textId="77777777" w:rsidR="00926666" w:rsidRPr="00A0701B" w:rsidRDefault="00926666" w:rsidP="00DA599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9CB03F" w14:textId="2DE29700" w:rsidR="00164A49" w:rsidRPr="00A0701B" w:rsidRDefault="00926666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Банком России будут проанализированы полученные результаты оценок по каждому методу и выбраны итоговые 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>значени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параметров калибровки </w:t>
      </w:r>
      <w:r w:rsidRPr="00A0701B">
        <w:rPr>
          <w:rFonts w:ascii="Times New Roman" w:hAnsi="Times New Roman" w:cs="Times New Roman"/>
          <w:i/>
          <w:sz w:val="24"/>
          <w:szCs w:val="24"/>
        </w:rPr>
        <w:t>σ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(</w:t>
      </w:r>
      <w:proofErr w:type="spellStart"/>
      <w:r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prem</w:t>
      </w:r>
      <w:proofErr w:type="spellEnd"/>
      <w:r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,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lob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)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0701B">
        <w:rPr>
          <w:rFonts w:ascii="Times New Roman" w:hAnsi="Times New Roman" w:cs="Times New Roman"/>
          <w:i/>
          <w:sz w:val="24"/>
          <w:szCs w:val="24"/>
        </w:rPr>
        <w:t>σ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(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res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,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lob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)</w:t>
      </w:r>
      <w:r w:rsidRPr="00A070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которые будут использоваться в количественном исследовании №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0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Детальное описание</w:t>
      </w:r>
      <w:r w:rsidR="00472E31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выбору параметров </w:t>
      </w:r>
      <w:r w:rsidR="00472E31" w:rsidRPr="00A0701B">
        <w:rPr>
          <w:rFonts w:ascii="Times New Roman" w:hAnsi="Times New Roman" w:cs="Times New Roman"/>
          <w:i/>
          <w:sz w:val="24"/>
          <w:szCs w:val="24"/>
        </w:rPr>
        <w:t>σ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(</w:t>
      </w:r>
      <w:proofErr w:type="spellStart"/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prem</w:t>
      </w:r>
      <w:proofErr w:type="spellEnd"/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,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lob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)</w:t>
      </w:r>
      <w:r w:rsidR="00472E31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72E31" w:rsidRPr="00A0701B">
        <w:rPr>
          <w:rFonts w:ascii="Times New Roman" w:hAnsi="Times New Roman" w:cs="Times New Roman"/>
          <w:i/>
          <w:sz w:val="24"/>
          <w:szCs w:val="24"/>
        </w:rPr>
        <w:t>σ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(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res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,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</w:rPr>
        <w:t>lob</w:t>
      </w:r>
      <w:r w:rsidR="00472E31"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)</w:t>
      </w:r>
      <w:r w:rsidR="00472E31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см. в документе </w:t>
      </w:r>
      <w:r w:rsidRPr="00A0701B">
        <w:rPr>
          <w:rFonts w:ascii="Times New Roman" w:hAnsi="Times New Roman" w:cs="Times New Roman"/>
          <w:sz w:val="24"/>
          <w:szCs w:val="24"/>
        </w:rPr>
        <w:t>Calibration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01B">
        <w:rPr>
          <w:rFonts w:ascii="Times New Roman" w:hAnsi="Times New Roman" w:cs="Times New Roman"/>
          <w:sz w:val="24"/>
          <w:szCs w:val="24"/>
        </w:rPr>
        <w:t>Paper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NOTEREF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_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Ref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>527036655 \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p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\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h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 \*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MERGEFORMAT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NOTEREF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_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Ref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>527036655 \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h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 \*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instrText>MERGEFORMAT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instrText xml:space="preserve"> </w:instrTex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="0020382D" w:rsidRPr="00A0701B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01B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</w:p>
    <w:p w14:paraId="17995912" w14:textId="77777777" w:rsidR="00164A49" w:rsidRPr="00A0701B" w:rsidRDefault="00164A49" w:rsidP="00DA59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F0CC83" w14:textId="4FEA53DB" w:rsidR="00164A49" w:rsidRPr="00A0701B" w:rsidRDefault="00164A49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Расчет оценки риска премий и резервов нетто-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>перестраховани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осуществляется аналогично методу, используемому для расчета оценки риска премий и резервов брутто-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>перестраховани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094155" w14:textId="77777777" w:rsidR="00164A49" w:rsidRPr="00A0701B" w:rsidRDefault="00164A49" w:rsidP="00DA599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DF40E3" w14:textId="77777777" w:rsidR="00164A49" w:rsidRPr="00A0701B" w:rsidRDefault="00164A49" w:rsidP="00DA59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9BA0B4F" w14:textId="67551893" w:rsidR="00FA52EA" w:rsidRPr="00A0701B" w:rsidRDefault="00FA52EA" w:rsidP="00DA599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1E9F64FB" w14:textId="6D8E0244" w:rsidR="00816014" w:rsidRPr="00A0701B" w:rsidRDefault="00FA52EA" w:rsidP="00DA5990">
      <w:pPr>
        <w:pStyle w:val="Heading1"/>
        <w:spacing w:line="360" w:lineRule="auto"/>
        <w:rPr>
          <w:rFonts w:cs="Times New Roman"/>
          <w:sz w:val="24"/>
          <w:szCs w:val="24"/>
          <w:lang w:val="ru-RU"/>
        </w:rPr>
      </w:pPr>
      <w:bookmarkStart w:id="3" w:name="_Toc528078442"/>
      <w:r w:rsidRPr="00A0701B">
        <w:rPr>
          <w:rFonts w:cs="Times New Roman"/>
          <w:sz w:val="24"/>
          <w:szCs w:val="24"/>
          <w:lang w:val="ru-RU"/>
        </w:rPr>
        <w:lastRenderedPageBreak/>
        <w:t>Приложение А</w:t>
      </w:r>
      <w:r w:rsidR="00376570">
        <w:rPr>
          <w:rFonts w:cs="Times New Roman"/>
          <w:sz w:val="24"/>
          <w:szCs w:val="24"/>
          <w:lang w:val="ru-RU"/>
        </w:rPr>
        <w:t>.</w:t>
      </w:r>
      <w:r w:rsidR="00CA1816" w:rsidRPr="00A0701B">
        <w:rPr>
          <w:rFonts w:cs="Times New Roman"/>
          <w:sz w:val="24"/>
          <w:szCs w:val="24"/>
          <w:lang w:val="ru-RU"/>
        </w:rPr>
        <w:t xml:space="preserve"> </w:t>
      </w:r>
      <w:r w:rsidR="00B13FE2" w:rsidRPr="00A0701B">
        <w:rPr>
          <w:rFonts w:cs="Times New Roman"/>
          <w:sz w:val="24"/>
          <w:szCs w:val="24"/>
          <w:lang w:val="ru-RU"/>
        </w:rPr>
        <w:t xml:space="preserve">Калибровка параметров </w:t>
      </w:r>
      <w:r w:rsidR="00E16F8D" w:rsidRPr="00A0701B">
        <w:rPr>
          <w:rFonts w:cs="Times New Roman"/>
          <w:sz w:val="24"/>
          <w:szCs w:val="24"/>
          <w:lang w:val="ru-RU"/>
        </w:rPr>
        <w:t>для</w:t>
      </w:r>
      <w:r w:rsidR="00B13FE2" w:rsidRPr="00A0701B">
        <w:rPr>
          <w:rFonts w:cs="Times New Roman"/>
          <w:sz w:val="24"/>
          <w:szCs w:val="24"/>
          <w:lang w:val="ru-RU"/>
        </w:rPr>
        <w:t xml:space="preserve"> </w:t>
      </w:r>
      <w:r w:rsidR="00E16F8D" w:rsidRPr="00A0701B">
        <w:rPr>
          <w:rFonts w:cs="Times New Roman"/>
          <w:sz w:val="24"/>
          <w:szCs w:val="24"/>
          <w:lang w:val="ru-RU"/>
        </w:rPr>
        <w:t xml:space="preserve">расчета </w:t>
      </w:r>
      <w:r w:rsidR="00B13FE2" w:rsidRPr="00A0701B">
        <w:rPr>
          <w:rFonts w:cs="Times New Roman"/>
          <w:sz w:val="24"/>
          <w:szCs w:val="24"/>
          <w:lang w:val="ru-RU"/>
        </w:rPr>
        <w:t>риск</w:t>
      </w:r>
      <w:r w:rsidR="00E16F8D" w:rsidRPr="00A0701B">
        <w:rPr>
          <w:rFonts w:cs="Times New Roman"/>
          <w:sz w:val="24"/>
          <w:szCs w:val="24"/>
          <w:lang w:val="ru-RU"/>
        </w:rPr>
        <w:t>а</w:t>
      </w:r>
      <w:r w:rsidR="00B13FE2" w:rsidRPr="00A0701B">
        <w:rPr>
          <w:rFonts w:cs="Times New Roman"/>
          <w:sz w:val="24"/>
          <w:szCs w:val="24"/>
          <w:lang w:val="ru-RU"/>
        </w:rPr>
        <w:t xml:space="preserve"> </w:t>
      </w:r>
      <w:r w:rsidR="007D2701" w:rsidRPr="00A0701B">
        <w:rPr>
          <w:rFonts w:cs="Times New Roman"/>
          <w:sz w:val="24"/>
          <w:szCs w:val="24"/>
          <w:lang w:val="ru-RU"/>
        </w:rPr>
        <w:t>премий</w:t>
      </w:r>
      <w:bookmarkEnd w:id="3"/>
    </w:p>
    <w:p w14:paraId="70DBC184" w14:textId="2A19985A" w:rsidR="001871B5" w:rsidRPr="00A0701B" w:rsidRDefault="001871B5" w:rsidP="00DA5990">
      <w:pPr>
        <w:pStyle w:val="Heading2"/>
        <w:spacing w:line="360" w:lineRule="auto"/>
        <w:rPr>
          <w:sz w:val="24"/>
          <w:szCs w:val="24"/>
        </w:rPr>
      </w:pPr>
      <w:r w:rsidRPr="00A0701B">
        <w:rPr>
          <w:sz w:val="24"/>
          <w:szCs w:val="24"/>
        </w:rPr>
        <w:t>Метод №</w:t>
      </w:r>
      <w:r w:rsidR="00376570">
        <w:rPr>
          <w:sz w:val="24"/>
          <w:szCs w:val="24"/>
        </w:rPr>
        <w:t> </w:t>
      </w:r>
      <w:r w:rsidRPr="00A0701B">
        <w:rPr>
          <w:sz w:val="24"/>
          <w:szCs w:val="24"/>
        </w:rPr>
        <w:t>1</w:t>
      </w:r>
    </w:p>
    <w:p w14:paraId="696EF938" w14:textId="77777777" w:rsidR="00CA1816" w:rsidRPr="00A0701B" w:rsidRDefault="00CA1816" w:rsidP="00DA5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FADDF9" w14:textId="77777777" w:rsidR="00987E0C" w:rsidRPr="00A0701B" w:rsidRDefault="00987E0C" w:rsidP="00262974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Используются следующие обозначения:</w:t>
      </w:r>
    </w:p>
    <w:tbl>
      <w:tblPr>
        <w:tblW w:w="9366" w:type="dxa"/>
        <w:tblInd w:w="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357"/>
        <w:gridCol w:w="8018"/>
      </w:tblGrid>
      <w:tr w:rsidR="001C4246" w:rsidRPr="00A0701B" w14:paraId="6C2AF84B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69EFAC2D" w14:textId="460F0CE8" w:rsidR="001C4246" w:rsidRPr="00A0701B" w:rsidRDefault="001C4246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w:r w:rsidRPr="00A0701B">
              <w:rPr>
                <w:rFonts w:eastAsia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57" w:type="dxa"/>
            <w:shd w:val="clear" w:color="auto" w:fill="FFFFFF"/>
          </w:tcPr>
          <w:p w14:paraId="2AAD171C" w14:textId="7B1DB552" w:rsidR="001C4246" w:rsidRPr="00262974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4D5C6211" w14:textId="3DC2055F" w:rsidR="001C4246" w:rsidRPr="00A0701B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к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омпания (</w:t>
            </w:r>
            <w:r w:rsidR="001C4246" w:rsidRPr="00A0701B">
              <w:rPr>
                <w:rFonts w:eastAsiaTheme="minorEastAsia"/>
                <w:sz w:val="24"/>
                <w:szCs w:val="24"/>
              </w:rPr>
              <w:t>Company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)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1C4246" w:rsidRPr="00A0701B" w14:paraId="67BE2CCE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40E9D110" w14:textId="625779D4" w:rsidR="001C4246" w:rsidRPr="00A0701B" w:rsidRDefault="001C4246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w:r w:rsidRPr="00A0701B">
              <w:rPr>
                <w:rFonts w:eastAsia="Arial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57" w:type="dxa"/>
            <w:shd w:val="clear" w:color="auto" w:fill="FFFFFF"/>
          </w:tcPr>
          <w:p w14:paraId="65062E26" w14:textId="5754EDA5" w:rsidR="001C4246" w:rsidRPr="00262974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392551C1" w14:textId="702DAE80" w:rsidR="001C4246" w:rsidRPr="00376570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г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од</w:t>
            </w:r>
            <w:r w:rsidR="001C4246" w:rsidRPr="00A0701B">
              <w:rPr>
                <w:rFonts w:eastAsiaTheme="minorEastAsia"/>
                <w:sz w:val="24"/>
                <w:szCs w:val="24"/>
              </w:rPr>
              <w:t xml:space="preserve"> 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 xml:space="preserve">происшествия </w:t>
            </w:r>
            <w:r w:rsidR="001C4246" w:rsidRPr="00A0701B">
              <w:rPr>
                <w:rFonts w:eastAsiaTheme="minorEastAsia"/>
                <w:sz w:val="24"/>
                <w:szCs w:val="24"/>
              </w:rPr>
              <w:t>(Accident Year)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1C4246" w:rsidRPr="00A0701B" w14:paraId="62F86491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77B70B7B" w14:textId="0F91D3EA" w:rsidR="001C4246" w:rsidRPr="00A0701B" w:rsidRDefault="001C4246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w:r w:rsidRPr="00A0701B">
              <w:rPr>
                <w:rFonts w:eastAsia="Arial"/>
                <w:i/>
                <w:iCs/>
                <w:sz w:val="24"/>
                <w:szCs w:val="24"/>
              </w:rPr>
              <w:t>lob</w:t>
            </w:r>
          </w:p>
        </w:tc>
        <w:tc>
          <w:tcPr>
            <w:tcW w:w="357" w:type="dxa"/>
            <w:shd w:val="clear" w:color="auto" w:fill="FFFFFF"/>
          </w:tcPr>
          <w:p w14:paraId="44406F89" w14:textId="238C635B" w:rsidR="001C4246" w:rsidRPr="00262974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7703AC5D" w14:textId="5BCC6177" w:rsidR="001C4246" w:rsidRPr="00A0701B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егмент (</w:t>
            </w:r>
            <w:r w:rsidR="001C4246" w:rsidRPr="00A0701B">
              <w:rPr>
                <w:rFonts w:eastAsiaTheme="minorEastAsia"/>
                <w:sz w:val="24"/>
                <w:szCs w:val="24"/>
              </w:rPr>
              <w:t>line of business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)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987E0C" w:rsidRPr="00B31FAB" w14:paraId="2A2503B3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2F22588C" w14:textId="77777777" w:rsidR="00987E0C" w:rsidRPr="00A0701B" w:rsidRDefault="00B31FAB" w:rsidP="00DA5990">
            <w:pPr>
              <w:pStyle w:val="Bodytext20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lob</m:t>
                  </m:r>
                </m:sub>
              </m:sSub>
            </m:oMath>
            <w:r w:rsidR="00987E0C" w:rsidRPr="00A0701B">
              <w:rPr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57" w:type="dxa"/>
            <w:shd w:val="clear" w:color="auto" w:fill="FFFFFF"/>
          </w:tcPr>
          <w:p w14:paraId="53ABCA73" w14:textId="4AC3F00A" w:rsidR="00987E0C" w:rsidRPr="00262974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00828495" w14:textId="59DC995B" w:rsidR="00987E0C" w:rsidRPr="00A0701B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987E0C" w:rsidRPr="00A0701B">
              <w:rPr>
                <w:rFonts w:eastAsiaTheme="minorEastAsia"/>
                <w:sz w:val="24"/>
                <w:szCs w:val="24"/>
                <w:lang w:val="ru-RU"/>
              </w:rPr>
              <w:t>тоговые убытки (</w:t>
            </w:r>
            <w:r w:rsidR="00987E0C" w:rsidRPr="00A0701B">
              <w:rPr>
                <w:rFonts w:eastAsiaTheme="minorEastAsia"/>
                <w:sz w:val="24"/>
                <w:szCs w:val="24"/>
              </w:rPr>
              <w:t>ultimate</w:t>
            </w:r>
            <w:r w:rsidR="00987E0C" w:rsidRPr="00A0701B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987E0C" w:rsidRPr="00A0701B">
              <w:rPr>
                <w:rFonts w:eastAsiaTheme="minorEastAsia"/>
                <w:sz w:val="24"/>
                <w:szCs w:val="24"/>
              </w:rPr>
              <w:t>losses</w:t>
            </w:r>
            <w:r w:rsidR="00987E0C" w:rsidRPr="00A0701B">
              <w:rPr>
                <w:rFonts w:eastAsiaTheme="minorEastAsia"/>
                <w:sz w:val="24"/>
                <w:szCs w:val="24"/>
                <w:lang w:val="ru-RU"/>
              </w:rPr>
              <w:t>) для каждого страховщика, года происшествия и сегмента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987E0C" w:rsidRPr="00B31FAB" w14:paraId="1DB5DF3F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690BAD03" w14:textId="77777777" w:rsidR="00987E0C" w:rsidRPr="00A0701B" w:rsidRDefault="00B31FAB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C,Y,lob</m:t>
                  </m:r>
                </m:sub>
              </m:sSub>
            </m:oMath>
            <w:r w:rsidR="00987E0C" w:rsidRPr="00A0701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  <w:shd w:val="clear" w:color="auto" w:fill="FFFFFF"/>
          </w:tcPr>
          <w:p w14:paraId="7FF94043" w14:textId="7EF41D35" w:rsidR="00987E0C" w:rsidRPr="00262974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18234FB7" w14:textId="761182B2" w:rsidR="00987E0C" w:rsidRPr="00A0701B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987E0C" w:rsidRPr="00A0701B">
              <w:rPr>
                <w:rFonts w:eastAsiaTheme="minorEastAsia"/>
                <w:sz w:val="24"/>
                <w:szCs w:val="24"/>
                <w:lang w:val="ru-RU"/>
              </w:rPr>
              <w:t>аработанная премия для каждого страховщика, года происшествия и сегмента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987E0C" w:rsidRPr="00B31FAB" w14:paraId="19D0143C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65423D77" w14:textId="77777777" w:rsidR="00987E0C" w:rsidRPr="00A0701B" w:rsidRDefault="00B31FAB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C,lob</m:t>
                  </m:r>
                </m:sub>
              </m:sSub>
            </m:oMath>
            <w:r w:rsidR="00987E0C" w:rsidRPr="00A0701B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357" w:type="dxa"/>
            <w:shd w:val="clear" w:color="auto" w:fill="FFFFFF"/>
          </w:tcPr>
          <w:p w14:paraId="393CE64E" w14:textId="18CFDE07" w:rsidR="00987E0C" w:rsidRPr="00262974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705C23A3" w14:textId="798573A7" w:rsidR="00987E0C" w:rsidRPr="00A0701B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666910" w:rsidRPr="00A0701B">
              <w:rPr>
                <w:sz w:val="24"/>
                <w:szCs w:val="24"/>
                <w:lang w:val="ru-RU"/>
              </w:rPr>
              <w:t>тандартное отклонение коэффициента убыточности для каждого страховщика и сегмента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987E0C" w:rsidRPr="00B31FAB" w14:paraId="285FAFA1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5EA50A8D" w14:textId="77777777" w:rsidR="00987E0C" w:rsidRPr="00A0701B" w:rsidRDefault="00B31FAB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i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C,lob</m:t>
                  </m:r>
                </m:sub>
              </m:sSub>
            </m:oMath>
            <w:r w:rsidR="00666910" w:rsidRPr="00A0701B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" w:type="dxa"/>
            <w:shd w:val="clear" w:color="auto" w:fill="FFFFFF"/>
          </w:tcPr>
          <w:p w14:paraId="7C92AB5F" w14:textId="0FB2C7F4" w:rsidR="00987E0C" w:rsidRPr="00376570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21C547C9" w14:textId="58AD9FE6" w:rsidR="00987E0C" w:rsidRPr="00A0701B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10" w:rsidRPr="00A0701B">
              <w:rPr>
                <w:sz w:val="24"/>
                <w:szCs w:val="24"/>
                <w:lang w:val="ru-RU"/>
              </w:rPr>
              <w:t>оличество лет, за которое имеются данные для каждого страховщика и сегмента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2A30738D" w14:textId="77777777" w:rsidTr="00F6015B">
        <w:trPr>
          <w:trHeight w:val="283"/>
        </w:trPr>
        <w:tc>
          <w:tcPr>
            <w:tcW w:w="991" w:type="dxa"/>
            <w:shd w:val="clear" w:color="auto" w:fill="FFFFFF"/>
          </w:tcPr>
          <w:p w14:paraId="79E18382" w14:textId="17DC269B" w:rsidR="00666910" w:rsidRPr="00A0701B" w:rsidRDefault="00B31FAB" w:rsidP="00DA5990">
            <w:pPr>
              <w:pStyle w:val="Bodytext190"/>
              <w:shd w:val="clear" w:color="auto" w:fill="auto"/>
              <w:spacing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C,lob</m:t>
                  </m:r>
                </m:sub>
              </m:sSub>
            </m:oMath>
            <w:r w:rsidR="008330D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  <w:shd w:val="clear" w:color="auto" w:fill="FFFFFF"/>
          </w:tcPr>
          <w:p w14:paraId="5B7F1221" w14:textId="73C1B8EF" w:rsidR="00666910" w:rsidRPr="00376570" w:rsidRDefault="00376570" w:rsidP="00DA5990">
            <w:pPr>
              <w:pStyle w:val="Bodytext30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8018" w:type="dxa"/>
            <w:shd w:val="clear" w:color="auto" w:fill="FFFFFF"/>
          </w:tcPr>
          <w:p w14:paraId="34E7583A" w14:textId="69E0A49B" w:rsidR="00666910" w:rsidRPr="00A0701B" w:rsidRDefault="00376570" w:rsidP="00DA5990">
            <w:pPr>
              <w:pStyle w:val="Bodytext18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666910" w:rsidRPr="00A0701B">
              <w:rPr>
                <w:sz w:val="24"/>
                <w:szCs w:val="24"/>
                <w:lang w:val="ru-RU"/>
              </w:rPr>
              <w:t>редняя заработанная премия для каждого страховщика и сегмента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1FCDB0D5" w14:textId="77777777" w:rsidR="00666910" w:rsidRPr="00A0701B" w:rsidRDefault="00666910" w:rsidP="00DA5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C357FD" w14:textId="6A17AAD8" w:rsidR="000765AF" w:rsidRPr="00A0701B" w:rsidRDefault="000765AF" w:rsidP="0026297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Средняя заработанная премия для каждого страховщика и сегмента </w:t>
      </w:r>
      <w:r w:rsidR="00D71821"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lob</m:t>
            </m:r>
          </m:sub>
        </m:sSub>
      </m:oMath>
      <w:r w:rsidR="00D71821" w:rsidRPr="00A0701B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)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рассчитывается следующим образом:</w:t>
      </w:r>
    </w:p>
    <w:p w14:paraId="19B4E4EB" w14:textId="290206D3" w:rsidR="000765AF" w:rsidRPr="00376570" w:rsidRDefault="00B31FAB" w:rsidP="00DA5990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lob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C,Y,lob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lob</m:t>
                </m:r>
              </m:sub>
            </m:sSub>
          </m:den>
        </m:f>
      </m:oMath>
      <w:r w:rsidR="00376570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.</w:t>
      </w:r>
    </w:p>
    <w:p w14:paraId="6AFBDD6C" w14:textId="77777777" w:rsidR="000765AF" w:rsidRPr="00A0701B" w:rsidRDefault="000765AF" w:rsidP="00DA599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E2AEE4" w14:textId="396ECEAF" w:rsidR="00987E0C" w:rsidRPr="00A0701B" w:rsidRDefault="00350AC0" w:rsidP="0026297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Для упрощения в запросе данных для калибровки параметров вводим следующие обозначения:</w:t>
      </w:r>
    </w:p>
    <w:p w14:paraId="545C4169" w14:textId="2B65C8C4" w:rsidR="00350AC0" w:rsidRPr="000C24BE" w:rsidRDefault="000607D5" w:rsidP="00DA599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701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0701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lob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Y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lob</m:t>
            </m:r>
            <m:r>
              <w:rPr>
                <w:rFonts w:ascii="Cambria Math" w:hAnsi="Cambria Math" w:cs="Times New Roman"/>
                <w:sz w:val="24"/>
                <w:szCs w:val="24"/>
              </w:rPr>
              <m:t>  </m:t>
            </m:r>
          </m:sub>
        </m:sSub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Y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lob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Y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lob</m:t>
                    </m:r>
                  </m:sub>
                </m:sSub>
              </m:e>
            </m:nary>
          </m:den>
        </m:f>
      </m:oMath>
      <w:r w:rsidR="00376570" w:rsidRPr="00262974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</w:p>
    <w:p w14:paraId="72463827" w14:textId="32C88432" w:rsidR="000607D5" w:rsidRPr="00376570" w:rsidRDefault="000607D5" w:rsidP="00DA59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0701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= </w:t>
      </w:r>
      <w:proofErr w:type="gramEnd"/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Y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C,Y,lob</m:t>
                    </m:r>
                  </m:sub>
                </m:sSub>
              </m:den>
            </m:f>
          </m:e>
        </m:nary>
      </m:oMath>
      <w:r w:rsidR="00376570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.</w:t>
      </w:r>
    </w:p>
    <w:p w14:paraId="3C55ED69" w14:textId="77777777" w:rsidR="00DA5990" w:rsidRDefault="00DA59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FF45F05" w14:textId="01051DD4" w:rsidR="00B13FE2" w:rsidRPr="00A0701B" w:rsidRDefault="00B13FE2" w:rsidP="0026297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Стандартное отклонение коэффициента убыточности для каждого страховщика и сегмента,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lob</m:t>
            </m:r>
          </m:sub>
        </m:sSub>
      </m:oMath>
      <w:r w:rsidRPr="00A0701B">
        <w:rPr>
          <w:rFonts w:ascii="Times New Roman" w:hAnsi="Times New Roman" w:cs="Times New Roman"/>
          <w:sz w:val="24"/>
          <w:szCs w:val="24"/>
          <w:lang w:val="ru-RU"/>
        </w:rPr>
        <w:t>, рассчитывается по следующей формуле:</w:t>
      </w:r>
    </w:p>
    <w:p w14:paraId="6CEE23D9" w14:textId="5835C677" w:rsidR="00B13FE2" w:rsidRPr="00376570" w:rsidRDefault="00B31FAB" w:rsidP="002629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C,lob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</m:den>
            </m:f>
          </m:e>
        </m:rad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-1</m:t>
                </m:r>
              </m:den>
            </m:f>
          </m:e>
        </m:rad>
      </m:oMath>
      <w:r w:rsidR="00376570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.</w:t>
      </w:r>
    </w:p>
    <w:p w14:paraId="003CFBB3" w14:textId="77777777" w:rsidR="00B13FE2" w:rsidRPr="00A0701B" w:rsidRDefault="00B13FE2" w:rsidP="00DA59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A5E01D" w14:textId="77777777" w:rsidR="005A6EB4" w:rsidRPr="00A0701B" w:rsidRDefault="005A6EB4" w:rsidP="00DA59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4C93943F" w14:textId="087CBE5E" w:rsidR="005A6EB4" w:rsidRPr="00A0701B" w:rsidRDefault="005A6EB4" w:rsidP="00262974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следующее </w:t>
      </w:r>
      <w:r w:rsidR="00730BEC" w:rsidRPr="00A0701B">
        <w:rPr>
          <w:rFonts w:ascii="Times New Roman" w:hAnsi="Times New Roman" w:cs="Times New Roman"/>
          <w:sz w:val="24"/>
          <w:szCs w:val="24"/>
          <w:lang w:val="ru-RU"/>
        </w:rPr>
        <w:t>обозначение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4AB1B50" w14:textId="58AA2901" w:rsidR="005A6EB4" w:rsidRPr="00A0701B" w:rsidRDefault="00B31FAB" w:rsidP="00DA5990">
      <w:pPr>
        <w:spacing w:before="120" w:after="0" w:line="36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prem,lob</m:t>
            </m:r>
          </m:sub>
        </m:sSub>
      </m:oMath>
      <w:r w:rsidR="005A6EB4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76570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тандартное </w:t>
      </w:r>
      <w:r w:rsidR="005A6EB4" w:rsidRPr="00A0701B">
        <w:rPr>
          <w:rFonts w:ascii="Times New Roman" w:hAnsi="Times New Roman" w:cs="Times New Roman"/>
          <w:sz w:val="24"/>
          <w:szCs w:val="24"/>
          <w:lang w:val="ru-RU"/>
        </w:rPr>
        <w:t>отклонение риска премий для каждого сегмента</w:t>
      </w:r>
      <w:r w:rsidR="003765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43B184" w14:textId="77777777" w:rsidR="005A6EB4" w:rsidRPr="00A0701B" w:rsidRDefault="005A6EB4" w:rsidP="00DA599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16FDEC8C" w14:textId="0CD1826F" w:rsidR="005A6EB4" w:rsidRPr="00A0701B" w:rsidRDefault="005A6EB4" w:rsidP="00DA599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общего стандартного отклонения для каждого сегмента,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σ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prem,lob</m:t>
            </m:r>
          </m:sub>
        </m:sSub>
      </m:oMath>
      <w:r w:rsidRPr="00A0701B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,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рассчитывается средневзвешенное стандартное отклонение, полученное для каждого страховщика:</w:t>
      </w:r>
    </w:p>
    <w:p w14:paraId="2668774D" w14:textId="5DE07177" w:rsidR="005A6EB4" w:rsidRPr="00A0701B" w:rsidRDefault="00B31FAB" w:rsidP="00262974">
      <w:pPr>
        <w:spacing w:before="120" w:after="0" w:line="360" w:lineRule="auto"/>
        <w:ind w:left="425" w:firstLine="29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σ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prem,lob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ru-RU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</m:e>
            </m:nary>
          </m:den>
        </m:f>
      </m:oMath>
      <w:r w:rsidR="00376570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.</w:t>
      </w:r>
    </w:p>
    <w:p w14:paraId="62C0B298" w14:textId="336A5985" w:rsidR="00332B10" w:rsidRPr="00A0701B" w:rsidRDefault="00D43577" w:rsidP="00DA5990">
      <w:pPr>
        <w:pStyle w:val="Heading1"/>
        <w:spacing w:line="360" w:lineRule="auto"/>
        <w:rPr>
          <w:rFonts w:cs="Times New Roman"/>
          <w:sz w:val="24"/>
          <w:szCs w:val="24"/>
          <w:lang w:val="ru-RU"/>
        </w:rPr>
      </w:pPr>
      <w:r w:rsidRPr="00A0701B">
        <w:rPr>
          <w:rFonts w:cs="Times New Roman"/>
          <w:sz w:val="24"/>
          <w:szCs w:val="24"/>
          <w:lang w:val="ru-RU"/>
        </w:rPr>
        <w:br w:type="page"/>
      </w:r>
      <w:bookmarkStart w:id="4" w:name="_Toc528078443"/>
      <w:r w:rsidR="00A773A0" w:rsidRPr="00A0701B">
        <w:rPr>
          <w:rFonts w:cs="Times New Roman"/>
          <w:sz w:val="24"/>
          <w:szCs w:val="24"/>
          <w:lang w:val="ru-RU"/>
        </w:rPr>
        <w:lastRenderedPageBreak/>
        <w:t>Приложение Б</w:t>
      </w:r>
      <w:r w:rsidR="00376570">
        <w:rPr>
          <w:rFonts w:cs="Times New Roman"/>
          <w:sz w:val="24"/>
          <w:szCs w:val="24"/>
          <w:lang w:val="ru-RU"/>
        </w:rPr>
        <w:t>.</w:t>
      </w:r>
      <w:r w:rsidR="00A773A0" w:rsidRPr="00A0701B">
        <w:rPr>
          <w:rFonts w:cs="Times New Roman"/>
          <w:sz w:val="24"/>
          <w:szCs w:val="24"/>
          <w:lang w:val="ru-RU"/>
        </w:rPr>
        <w:t xml:space="preserve"> </w:t>
      </w:r>
      <w:r w:rsidR="00B13FE2" w:rsidRPr="00A0701B">
        <w:rPr>
          <w:rFonts w:cs="Times New Roman"/>
          <w:sz w:val="24"/>
          <w:szCs w:val="24"/>
          <w:lang w:val="ru-RU"/>
        </w:rPr>
        <w:t xml:space="preserve">Калибровка параметров </w:t>
      </w:r>
      <w:r w:rsidR="00E16F8D" w:rsidRPr="00A0701B">
        <w:rPr>
          <w:rFonts w:cs="Times New Roman"/>
          <w:sz w:val="24"/>
          <w:szCs w:val="24"/>
          <w:lang w:val="ru-RU"/>
        </w:rPr>
        <w:t>для расчета</w:t>
      </w:r>
      <w:r w:rsidR="00B13FE2" w:rsidRPr="00A0701B">
        <w:rPr>
          <w:rFonts w:cs="Times New Roman"/>
          <w:sz w:val="24"/>
          <w:szCs w:val="24"/>
          <w:lang w:val="ru-RU"/>
        </w:rPr>
        <w:t xml:space="preserve"> р</w:t>
      </w:r>
      <w:r w:rsidR="007D2701" w:rsidRPr="00A0701B">
        <w:rPr>
          <w:rFonts w:cs="Times New Roman"/>
          <w:sz w:val="24"/>
          <w:szCs w:val="24"/>
          <w:lang w:val="ru-RU"/>
        </w:rPr>
        <w:t>иск</w:t>
      </w:r>
      <w:r w:rsidR="00E16F8D" w:rsidRPr="00A0701B">
        <w:rPr>
          <w:rFonts w:cs="Times New Roman"/>
          <w:sz w:val="24"/>
          <w:szCs w:val="24"/>
          <w:lang w:val="ru-RU"/>
        </w:rPr>
        <w:t>а</w:t>
      </w:r>
      <w:r w:rsidR="00696701" w:rsidRPr="00A0701B">
        <w:rPr>
          <w:rFonts w:cs="Times New Roman"/>
          <w:sz w:val="24"/>
          <w:szCs w:val="24"/>
          <w:lang w:val="ru-RU"/>
        </w:rPr>
        <w:t xml:space="preserve"> резервов</w:t>
      </w:r>
      <w:bookmarkEnd w:id="4"/>
    </w:p>
    <w:p w14:paraId="4E02DEBF" w14:textId="03932564" w:rsidR="008D3D53" w:rsidRPr="00A0701B" w:rsidRDefault="008D3D53" w:rsidP="00DA5990">
      <w:pPr>
        <w:pStyle w:val="Heading2"/>
        <w:spacing w:line="360" w:lineRule="auto"/>
        <w:rPr>
          <w:sz w:val="24"/>
          <w:szCs w:val="24"/>
        </w:rPr>
      </w:pPr>
      <w:r w:rsidRPr="00A0701B">
        <w:rPr>
          <w:sz w:val="24"/>
          <w:szCs w:val="24"/>
        </w:rPr>
        <w:t>Метод №</w:t>
      </w:r>
      <w:r w:rsidR="00376570">
        <w:rPr>
          <w:sz w:val="24"/>
          <w:szCs w:val="24"/>
        </w:rPr>
        <w:t> </w:t>
      </w:r>
      <w:r w:rsidRPr="00A0701B">
        <w:rPr>
          <w:sz w:val="24"/>
          <w:szCs w:val="24"/>
        </w:rPr>
        <w:t>1</w:t>
      </w:r>
    </w:p>
    <w:p w14:paraId="01C0AC1A" w14:textId="77777777" w:rsidR="00A773A0" w:rsidRPr="00A0701B" w:rsidRDefault="00A773A0" w:rsidP="00DA599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A99863" w14:textId="7CCEFC9E" w:rsidR="00987E0C" w:rsidRPr="00A0701B" w:rsidRDefault="00987E0C" w:rsidP="00262974">
      <w:pPr>
        <w:pStyle w:val="ListParagraph"/>
        <w:numPr>
          <w:ilvl w:val="0"/>
          <w:numId w:val="3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Используются следующие обозначения:</w:t>
      </w:r>
    </w:p>
    <w:tbl>
      <w:tblPr>
        <w:tblW w:w="8212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0"/>
        <w:gridCol w:w="6576"/>
      </w:tblGrid>
      <w:tr w:rsidR="001C4246" w:rsidRPr="00A0701B" w14:paraId="336A9FF1" w14:textId="77777777" w:rsidTr="001C4246">
        <w:trPr>
          <w:trHeight w:val="193"/>
        </w:trPr>
        <w:tc>
          <w:tcPr>
            <w:tcW w:w="1276" w:type="dxa"/>
            <w:shd w:val="clear" w:color="auto" w:fill="FFFFFF"/>
          </w:tcPr>
          <w:p w14:paraId="5AD03CEC" w14:textId="26BA3C96" w:rsidR="001C4246" w:rsidRPr="00A0701B" w:rsidRDefault="001C4246" w:rsidP="00DA5990">
            <w:pPr>
              <w:pStyle w:val="Bodytext200"/>
              <w:shd w:val="clear" w:color="auto" w:fill="auto"/>
              <w:spacing w:after="120"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w:r w:rsidRPr="00A0701B">
              <w:rPr>
                <w:rFonts w:eastAsia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360" w:type="dxa"/>
            <w:shd w:val="clear" w:color="auto" w:fill="FFFFFF"/>
          </w:tcPr>
          <w:p w14:paraId="01BE0C0B" w14:textId="4060084D" w:rsidR="001C4246" w:rsidRPr="00A0701B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72E0C175" w14:textId="3F2B4BF6" w:rsidR="001C4246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к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омпания (</w:t>
            </w:r>
            <w:r w:rsidR="001C4246" w:rsidRPr="00A0701B">
              <w:rPr>
                <w:rFonts w:eastAsiaTheme="minorEastAsia"/>
                <w:sz w:val="24"/>
                <w:szCs w:val="24"/>
              </w:rPr>
              <w:t>Company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)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1C4246" w:rsidRPr="00A0701B" w14:paraId="603E91C2" w14:textId="77777777" w:rsidTr="001C4246">
        <w:trPr>
          <w:trHeight w:val="100"/>
        </w:trPr>
        <w:tc>
          <w:tcPr>
            <w:tcW w:w="1276" w:type="dxa"/>
            <w:shd w:val="clear" w:color="auto" w:fill="FFFFFF"/>
          </w:tcPr>
          <w:p w14:paraId="652F15CC" w14:textId="3C4A41D5" w:rsidR="001C4246" w:rsidRPr="00A0701B" w:rsidRDefault="001C4246" w:rsidP="00DA5990">
            <w:pPr>
              <w:pStyle w:val="Bodytext200"/>
              <w:shd w:val="clear" w:color="auto" w:fill="auto"/>
              <w:spacing w:after="120"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w:r w:rsidRPr="00A0701B">
              <w:rPr>
                <w:rFonts w:eastAsia="Arial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360" w:type="dxa"/>
            <w:shd w:val="clear" w:color="auto" w:fill="FFFFFF"/>
          </w:tcPr>
          <w:p w14:paraId="5A642D17" w14:textId="7B0DFBF9" w:rsidR="001C4246" w:rsidRPr="00A0701B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5022C078" w14:textId="628876F7" w:rsidR="001C4246" w:rsidRPr="00376570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1C4246" w:rsidRPr="00A0701B">
              <w:rPr>
                <w:sz w:val="24"/>
                <w:szCs w:val="24"/>
                <w:lang w:val="ru-RU"/>
              </w:rPr>
              <w:t>алендарный г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од</w:t>
            </w:r>
            <w:r w:rsidR="001C4246" w:rsidRPr="00A0701B">
              <w:rPr>
                <w:rFonts w:eastAsiaTheme="minorEastAsia"/>
                <w:sz w:val="24"/>
                <w:szCs w:val="24"/>
              </w:rPr>
              <w:t xml:space="preserve"> (Calendar Year)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1C4246" w:rsidRPr="00A0701B" w14:paraId="2A9FCE0D" w14:textId="77777777" w:rsidTr="001C4246">
        <w:trPr>
          <w:trHeight w:val="289"/>
        </w:trPr>
        <w:tc>
          <w:tcPr>
            <w:tcW w:w="1276" w:type="dxa"/>
            <w:shd w:val="clear" w:color="auto" w:fill="FFFFFF"/>
          </w:tcPr>
          <w:p w14:paraId="71056BAC" w14:textId="5F314D56" w:rsidR="001C4246" w:rsidRPr="00A0701B" w:rsidRDefault="001C4246" w:rsidP="00DA5990">
            <w:pPr>
              <w:pStyle w:val="Bodytext200"/>
              <w:shd w:val="clear" w:color="auto" w:fill="auto"/>
              <w:spacing w:after="120"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w:r w:rsidRPr="00A0701B">
              <w:rPr>
                <w:rFonts w:eastAsia="Arial"/>
                <w:i/>
                <w:iCs/>
                <w:sz w:val="24"/>
                <w:szCs w:val="24"/>
              </w:rPr>
              <w:t>lob</w:t>
            </w:r>
          </w:p>
        </w:tc>
        <w:tc>
          <w:tcPr>
            <w:tcW w:w="360" w:type="dxa"/>
            <w:shd w:val="clear" w:color="auto" w:fill="FFFFFF"/>
          </w:tcPr>
          <w:p w14:paraId="7800A84E" w14:textId="2848D725" w:rsidR="001C4246" w:rsidRPr="00A0701B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4C45BE3B" w14:textId="0D72721F" w:rsidR="001C4246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егмент (</w:t>
            </w:r>
            <w:r w:rsidR="001C4246" w:rsidRPr="00A0701B">
              <w:rPr>
                <w:rFonts w:eastAsiaTheme="minorEastAsia"/>
                <w:sz w:val="24"/>
                <w:szCs w:val="24"/>
              </w:rPr>
              <w:t>line of business</w:t>
            </w:r>
            <w:r w:rsidR="001C4246" w:rsidRPr="00A0701B">
              <w:rPr>
                <w:rFonts w:eastAsiaTheme="minorEastAsia"/>
                <w:sz w:val="24"/>
                <w:szCs w:val="24"/>
                <w:lang w:val="ru-RU"/>
              </w:rPr>
              <w:t>)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410DFEAE" w14:textId="77777777" w:rsidTr="00F6015B">
        <w:trPr>
          <w:trHeight w:val="624"/>
        </w:trPr>
        <w:tc>
          <w:tcPr>
            <w:tcW w:w="1276" w:type="dxa"/>
            <w:shd w:val="clear" w:color="auto" w:fill="FFFFFF"/>
          </w:tcPr>
          <w:p w14:paraId="5F47C8C8" w14:textId="77777777" w:rsidR="00666910" w:rsidRPr="00A0701B" w:rsidRDefault="00B31FAB" w:rsidP="00DA5990">
            <w:pPr>
              <w:pStyle w:val="Bodytext20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PCO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C,lob,i,j</m:t>
                  </m:r>
                </m:sub>
              </m:sSub>
            </m:oMath>
            <w:r w:rsidR="00666910" w:rsidRPr="00A0701B">
              <w:rPr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5FEE910C" w14:textId="7A90D444" w:rsidR="00666910" w:rsidRPr="00262974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5E3F64E1" w14:textId="035ECAA1" w:rsidR="00666910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666910" w:rsidRPr="00A0701B">
              <w:rPr>
                <w:sz w:val="24"/>
                <w:szCs w:val="24"/>
                <w:lang w:val="ru-RU"/>
              </w:rPr>
              <w:t>аилучшая оценка резервов убытков, включая прямые расходы на урегулирование убытков и доходы по суброгации</w:t>
            </w:r>
            <w:r w:rsidR="002850E4">
              <w:rPr>
                <w:sz w:val="24"/>
                <w:szCs w:val="24"/>
                <w:lang w:val="ru-RU"/>
              </w:rPr>
              <w:t>, регрессам</w:t>
            </w:r>
            <w:r w:rsidR="00666910" w:rsidRPr="00A0701B">
              <w:rPr>
                <w:sz w:val="24"/>
                <w:szCs w:val="24"/>
                <w:lang w:val="ru-RU"/>
              </w:rPr>
              <w:t xml:space="preserve"> и годным остаткам, для каждого страховщика и сегмента, для года происшествия </w:t>
            </w:r>
            <w:r w:rsidR="00666910" w:rsidRPr="00A0701B">
              <w:rPr>
                <w:i/>
                <w:sz w:val="24"/>
                <w:szCs w:val="24"/>
                <w:lang w:val="ru-RU"/>
              </w:rPr>
              <w:t>i</w:t>
            </w:r>
            <w:r w:rsidR="00666910" w:rsidRPr="00A0701B">
              <w:rPr>
                <w:sz w:val="24"/>
                <w:szCs w:val="24"/>
                <w:lang w:val="ru-RU"/>
              </w:rPr>
              <w:t xml:space="preserve"> и года развития </w:t>
            </w:r>
            <w:r w:rsidR="00666910" w:rsidRPr="00A0701B">
              <w:rPr>
                <w:i/>
                <w:sz w:val="24"/>
                <w:szCs w:val="24"/>
                <w:lang w:val="ru-RU"/>
              </w:rPr>
              <w:t>j</w:t>
            </w:r>
            <w:r>
              <w:rPr>
                <w:i/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5D051D23" w14:textId="77777777" w:rsidTr="00F6015B">
        <w:trPr>
          <w:trHeight w:val="624"/>
        </w:trPr>
        <w:tc>
          <w:tcPr>
            <w:tcW w:w="1276" w:type="dxa"/>
            <w:shd w:val="clear" w:color="auto" w:fill="FFFFFF"/>
          </w:tcPr>
          <w:p w14:paraId="50F0251D" w14:textId="77777777" w:rsidR="00666910" w:rsidRPr="00A0701B" w:rsidRDefault="00B31FAB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C,lob,i,j</m:t>
                  </m:r>
                </m:sub>
              </m:sSub>
            </m:oMath>
            <w:r w:rsidR="00666910" w:rsidRPr="00A0701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27CCA373" w14:textId="39A2C6AF" w:rsidR="00666910" w:rsidRPr="00262974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70A74B6A" w14:textId="68E7B103" w:rsidR="00666910" w:rsidRPr="00376570" w:rsidRDefault="00376570" w:rsidP="00DA5990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66910" w:rsidRPr="00A0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плаченные убытки, включая прямые расходы на урегулирование убытков и доходы по суброгации</w:t>
            </w:r>
            <w:r w:rsidR="00285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регрессам</w:t>
            </w:r>
            <w:r w:rsidR="00666910" w:rsidRPr="00A0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годным остаткам, для каждого страховщика и сегмента, для года происшествия </w:t>
            </w:r>
            <w:proofErr w:type="spellStart"/>
            <w:r w:rsidR="00666910" w:rsidRPr="00A0701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666910" w:rsidRPr="00A07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года развития </w:t>
            </w:r>
            <w:r w:rsidR="00666910" w:rsidRPr="00A0701B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361A5D2E" w14:textId="77777777" w:rsidTr="00F6015B">
        <w:trPr>
          <w:trHeight w:val="624"/>
        </w:trPr>
        <w:tc>
          <w:tcPr>
            <w:tcW w:w="1276" w:type="dxa"/>
            <w:shd w:val="clear" w:color="auto" w:fill="FFFFFF"/>
          </w:tcPr>
          <w:p w14:paraId="283BBCD4" w14:textId="77777777" w:rsidR="00666910" w:rsidRPr="00A0701B" w:rsidRDefault="00B31FAB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  <w:vertAlign w:val="sub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C,Y,lob</m:t>
                  </m:r>
                </m:sub>
              </m:sSub>
            </m:oMath>
            <w:r w:rsidR="00666910" w:rsidRPr="00A0701B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16C7E730" w14:textId="6C023257" w:rsidR="00666910" w:rsidRPr="00262974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0DFCCB92" w14:textId="095ED26D" w:rsidR="00666910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666910" w:rsidRPr="00A0701B">
              <w:rPr>
                <w:sz w:val="24"/>
                <w:szCs w:val="24"/>
                <w:lang w:val="ru-RU"/>
              </w:rPr>
              <w:t>езерв убытков, включая резерв прямых расходов на урегулирование убытков и доходов по суброгации</w:t>
            </w:r>
            <w:r w:rsidR="002850E4">
              <w:rPr>
                <w:sz w:val="24"/>
                <w:szCs w:val="24"/>
                <w:lang w:val="ru-RU"/>
              </w:rPr>
              <w:t>, регрессам</w:t>
            </w:r>
            <w:r w:rsidR="00666910" w:rsidRPr="00A0701B">
              <w:rPr>
                <w:sz w:val="24"/>
                <w:szCs w:val="24"/>
                <w:lang w:val="ru-RU"/>
              </w:rPr>
              <w:t xml:space="preserve"> и годным остаткам, на начало финансового года для каждого страховщика, календарного года и сегмента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4CF92010" w14:textId="77777777" w:rsidTr="00F6015B">
        <w:trPr>
          <w:trHeight w:val="624"/>
        </w:trPr>
        <w:tc>
          <w:tcPr>
            <w:tcW w:w="1276" w:type="dxa"/>
            <w:shd w:val="clear" w:color="auto" w:fill="FFFFFF"/>
          </w:tcPr>
          <w:p w14:paraId="2C758FF2" w14:textId="77777777" w:rsidR="00666910" w:rsidRPr="00A0701B" w:rsidRDefault="00B31FAB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i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C,Y,lob</m:t>
                  </m:r>
                </m:sub>
              </m:sSub>
            </m:oMath>
            <w:r w:rsidR="00666910" w:rsidRPr="00A0701B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351FEF69" w14:textId="0B5840D9" w:rsidR="00666910" w:rsidRPr="00376570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25306756" w14:textId="5A256785" w:rsidR="00666910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666910" w:rsidRPr="00A0701B">
              <w:rPr>
                <w:sz w:val="24"/>
                <w:szCs w:val="24"/>
                <w:lang w:val="ru-RU"/>
              </w:rPr>
              <w:t>точненная оценка резервов убытков, включая резерв прямых расходов на урегулирование убытков и доходов по суброгации</w:t>
            </w:r>
            <w:r w:rsidR="002850E4">
              <w:rPr>
                <w:sz w:val="24"/>
                <w:szCs w:val="24"/>
                <w:lang w:val="ru-RU"/>
              </w:rPr>
              <w:t>, регрессам</w:t>
            </w:r>
            <w:r w:rsidR="00666910" w:rsidRPr="00A0701B">
              <w:rPr>
                <w:sz w:val="24"/>
                <w:szCs w:val="24"/>
                <w:lang w:val="ru-RU"/>
              </w:rPr>
              <w:t xml:space="preserve"> и годным остаткам, спустя год для каждого страховщика, календарного года и сегмента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76C4766F" w14:textId="77777777" w:rsidTr="00F6015B">
        <w:trPr>
          <w:trHeight w:val="624"/>
        </w:trPr>
        <w:tc>
          <w:tcPr>
            <w:tcW w:w="1276" w:type="dxa"/>
            <w:shd w:val="clear" w:color="auto" w:fill="FFFFFF"/>
          </w:tcPr>
          <w:p w14:paraId="0C4FED24" w14:textId="77777777" w:rsidR="00666910" w:rsidRPr="00A0701B" w:rsidRDefault="00B31FAB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C,lob</m:t>
                  </m:r>
                </m:sub>
              </m:sSub>
            </m:oMath>
            <w:r w:rsidR="00666910" w:rsidRPr="00A0701B">
              <w:rPr>
                <w:rFonts w:eastAsia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7149440F" w14:textId="0303C1FC" w:rsidR="00666910" w:rsidRPr="00376570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22C4E651" w14:textId="29E7AEDA" w:rsidR="00666910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666910" w:rsidRPr="00A0701B">
              <w:rPr>
                <w:sz w:val="24"/>
                <w:szCs w:val="24"/>
                <w:lang w:val="ru-RU"/>
              </w:rPr>
              <w:t>тандартное отклонение показателя достаточности резервов убытков, включая резерв прямых расходов на урегулирование убытков и доходов по суброгации</w:t>
            </w:r>
            <w:r w:rsidR="002850E4">
              <w:rPr>
                <w:sz w:val="24"/>
                <w:szCs w:val="24"/>
                <w:lang w:val="ru-RU"/>
              </w:rPr>
              <w:t>, регрессам</w:t>
            </w:r>
            <w:r w:rsidR="00666910" w:rsidRPr="00A0701B">
              <w:rPr>
                <w:sz w:val="24"/>
                <w:szCs w:val="24"/>
                <w:lang w:val="ru-RU"/>
              </w:rPr>
              <w:t xml:space="preserve"> и годным </w:t>
            </w:r>
            <w:r w:rsidR="00666910" w:rsidRPr="00A0701B">
              <w:rPr>
                <w:sz w:val="24"/>
                <w:szCs w:val="24"/>
                <w:lang w:val="ru-RU"/>
              </w:rPr>
              <w:lastRenderedPageBreak/>
              <w:t>остаткам, на основе ретроспективного анализа для каждого страховщика и сегмента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62A87CA1" w14:textId="77777777" w:rsidTr="00F6015B">
        <w:trPr>
          <w:trHeight w:val="624"/>
        </w:trPr>
        <w:tc>
          <w:tcPr>
            <w:tcW w:w="1276" w:type="dxa"/>
            <w:shd w:val="clear" w:color="auto" w:fill="FFFFFF"/>
          </w:tcPr>
          <w:p w14:paraId="6A006553" w14:textId="77777777" w:rsidR="00666910" w:rsidRPr="00A0701B" w:rsidRDefault="00B31FAB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C,lob</m:t>
                  </m:r>
                </m:sub>
              </m:sSub>
            </m:oMath>
            <w:r w:rsidR="00666910" w:rsidRPr="00A0701B">
              <w:rPr>
                <w:rFonts w:eastAsia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2C3C1BA9" w14:textId="1B03ECCC" w:rsidR="00666910" w:rsidRPr="00376570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18FDFB90" w14:textId="00A01AEA" w:rsidR="00666910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10" w:rsidRPr="00A0701B">
              <w:rPr>
                <w:sz w:val="24"/>
                <w:szCs w:val="24"/>
                <w:lang w:val="ru-RU"/>
              </w:rPr>
              <w:t xml:space="preserve">оличество лет, за которое имеются данные 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C,Y,lob</m:t>
                  </m:r>
                </m:sub>
              </m:sSub>
            </m:oMath>
            <w:r w:rsidR="00666910" w:rsidRPr="00A0701B">
              <w:rPr>
                <w:i/>
                <w:iCs/>
                <w:sz w:val="24"/>
                <w:szCs w:val="24"/>
                <w:vertAlign w:val="subscript"/>
                <w:lang w:val="ru-RU"/>
              </w:rPr>
              <w:t xml:space="preserve"> </w:t>
            </w:r>
            <w:r w:rsidR="00666910" w:rsidRPr="00A0701B">
              <w:rPr>
                <w:sz w:val="24"/>
                <w:szCs w:val="24"/>
                <w:lang w:val="ru-RU"/>
              </w:rPr>
              <w:t>и</w:t>
            </w:r>
            <w:r w:rsidR="00666910" w:rsidRPr="00A0701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C,Y,lob</m:t>
                  </m:r>
                </m:sub>
              </m:sSub>
            </m:oMath>
            <w:r w:rsidR="00666910" w:rsidRPr="00A0701B">
              <w:rPr>
                <w:i/>
                <w:iCs/>
                <w:sz w:val="24"/>
                <w:szCs w:val="24"/>
                <w:vertAlign w:val="subscript"/>
                <w:lang w:val="ru-RU"/>
              </w:rPr>
              <w:t xml:space="preserve"> </w:t>
            </w:r>
            <w:r w:rsidR="00666910" w:rsidRPr="00A0701B">
              <w:rPr>
                <w:sz w:val="24"/>
                <w:szCs w:val="24"/>
                <w:lang w:val="ru-RU"/>
              </w:rPr>
              <w:t>для каждого страховщика и сегмента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666910" w:rsidRPr="00B31FAB" w14:paraId="26ED0E44" w14:textId="77777777" w:rsidTr="00F6015B">
        <w:trPr>
          <w:trHeight w:val="624"/>
        </w:trPr>
        <w:tc>
          <w:tcPr>
            <w:tcW w:w="1276" w:type="dxa"/>
            <w:shd w:val="clear" w:color="auto" w:fill="FFFFFF"/>
          </w:tcPr>
          <w:p w14:paraId="74C22AF7" w14:textId="77777777" w:rsidR="00666910" w:rsidRPr="00A0701B" w:rsidRDefault="00B31FAB" w:rsidP="00DA5990">
            <w:pPr>
              <w:pStyle w:val="Bodytext190"/>
              <w:shd w:val="clear" w:color="auto" w:fill="auto"/>
              <w:spacing w:after="120" w:line="360" w:lineRule="auto"/>
              <w:ind w:left="160"/>
              <w:jc w:val="both"/>
              <w:rPr>
                <w:rFonts w:eastAsia="Arial"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C,lob</m:t>
                  </m:r>
                </m:sub>
              </m:sSub>
            </m:oMath>
            <w:r w:rsidR="00666910" w:rsidRPr="00A0701B">
              <w:rPr>
                <w:rFonts w:eastAsia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FFFF"/>
          </w:tcPr>
          <w:p w14:paraId="57F736F2" w14:textId="19353D74" w:rsidR="00666910" w:rsidRPr="00376570" w:rsidRDefault="00376570" w:rsidP="00DA5990">
            <w:pPr>
              <w:pStyle w:val="Bodytext30"/>
              <w:shd w:val="clear" w:color="auto" w:fill="auto"/>
              <w:spacing w:after="120" w:line="36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6576" w:type="dxa"/>
            <w:shd w:val="clear" w:color="auto" w:fill="FFFFFF"/>
          </w:tcPr>
          <w:p w14:paraId="4203CD70" w14:textId="7F992E89" w:rsidR="00666910" w:rsidRPr="00A0701B" w:rsidRDefault="00376570" w:rsidP="00DA5990">
            <w:pPr>
              <w:pStyle w:val="Bodytext180"/>
              <w:shd w:val="clear" w:color="auto" w:fill="auto"/>
              <w:spacing w:after="120" w:line="36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A0701B">
              <w:rPr>
                <w:sz w:val="24"/>
                <w:szCs w:val="24"/>
                <w:lang w:val="ru-RU"/>
              </w:rPr>
              <w:t xml:space="preserve">еличина </w:t>
            </w:r>
            <w:r w:rsidR="00666910" w:rsidRPr="00A0701B">
              <w:rPr>
                <w:sz w:val="24"/>
                <w:szCs w:val="24"/>
                <w:lang w:val="ru-RU"/>
              </w:rPr>
              <w:t>резервов убытков, включая резерв прямых расходов на урегулирование убытков и доходов по суброгации</w:t>
            </w:r>
            <w:r w:rsidR="002850E4">
              <w:rPr>
                <w:sz w:val="24"/>
                <w:szCs w:val="24"/>
                <w:lang w:val="ru-RU"/>
              </w:rPr>
              <w:t>, регрессам</w:t>
            </w:r>
            <w:r w:rsidR="00666910" w:rsidRPr="00A0701B">
              <w:rPr>
                <w:sz w:val="24"/>
                <w:szCs w:val="24"/>
                <w:lang w:val="ru-RU"/>
              </w:rPr>
              <w:t xml:space="preserve"> и годным остаткам, для каждого страховщика и сегмента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6F49129A" w14:textId="77777777" w:rsidR="00666910" w:rsidRPr="00A0701B" w:rsidRDefault="00666910" w:rsidP="00DA59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D1C95A" w14:textId="77777777" w:rsidR="00987E0C" w:rsidRPr="00A0701B" w:rsidRDefault="00987E0C" w:rsidP="00262974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Используется следующая формула:</w:t>
      </w:r>
    </w:p>
    <w:p w14:paraId="1526309A" w14:textId="16170FCF" w:rsidR="00987E0C" w:rsidRPr="00262974" w:rsidRDefault="00B31FAB" w:rsidP="00262974">
      <w:pPr>
        <w:spacing w:line="36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C,Y,lob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i+j=Y+1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PCO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C,lob,i,j</m:t>
                </m:r>
              </m:sub>
            </m:sSub>
          </m:e>
        </m:nary>
      </m:oMath>
      <w:r w:rsidR="00376570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,</w:t>
      </w:r>
    </w:p>
    <w:p w14:paraId="7523528B" w14:textId="3C0B99DD" w:rsidR="00987E0C" w:rsidRPr="00376570" w:rsidRDefault="00B31FAB" w:rsidP="002629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C,Y,lob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i+j=Y+2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i≠Y+1</m:t>
                </m:r>
              </m:e>
            </m:eqAr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PCO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C,lob,i,j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  <w:lang w:val="ru-RU"/>
          </w:rPr>
          <m:t>+ 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i+j=Y+2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i≠Y+1</m:t>
                </m:r>
              </m:e>
            </m:eqAr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C,lob,i,j</m:t>
                </m:r>
              </m:sub>
            </m:sSub>
          </m:e>
        </m:nary>
      </m:oMath>
      <w:r w:rsidR="00376570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.</w:t>
      </w:r>
    </w:p>
    <w:p w14:paraId="12E6A569" w14:textId="77777777" w:rsidR="00E16F8D" w:rsidRPr="00A0701B" w:rsidRDefault="00E16F8D" w:rsidP="0026297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Для упрощения в запросе данных для калибровки параметров вводим следующие обозначения:</w:t>
      </w:r>
    </w:p>
    <w:p w14:paraId="35647860" w14:textId="67E93FF8" w:rsidR="00E16F8D" w:rsidRPr="00262974" w:rsidRDefault="00E16F8D" w:rsidP="00DA5990">
      <w:pPr>
        <w:spacing w:line="36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C,Y,lob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C,Y,lob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C,Y,lob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="00376570">
        <w:rPr>
          <w:rFonts w:ascii="Times New Roman" w:eastAsiaTheme="minorEastAsia" w:hAnsi="Times New Roman" w:cs="Times New Roman"/>
          <w:iCs/>
          <w:sz w:val="24"/>
          <w:szCs w:val="24"/>
          <w:lang w:val="ru-RU"/>
        </w:rPr>
        <w:t>.</w:t>
      </w:r>
    </w:p>
    <w:p w14:paraId="0CA7286C" w14:textId="77777777" w:rsidR="00DA5990" w:rsidRPr="00262974" w:rsidRDefault="00DA5990" w:rsidP="00DA599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71D61224" w14:textId="77777777" w:rsidR="001C4246" w:rsidRPr="00A0701B" w:rsidRDefault="001C4246" w:rsidP="00262974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Далее, принимая во внимание, что резерв убытков должен равняться ожидаемой величине будущих убытков, т.е. </w:t>
      </w:r>
    </w:p>
    <w:p w14:paraId="3C82E132" w14:textId="77777777" w:rsidR="001C4246" w:rsidRPr="00A0701B" w:rsidRDefault="001C4246" w:rsidP="00DA5990">
      <w:pPr>
        <w:spacing w:before="120" w:after="0" w:line="36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lob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lob</m:t>
                    </m:r>
                  </m:sub>
                </m:sSub>
              </m:den>
            </m:f>
            <m:ctrlPr>
              <w:rPr>
                <w:rFonts w:ascii="Cambria Math" w:hAnsi="Cambria Math" w:cs="Times New Roman"/>
                <w:sz w:val="24"/>
                <w:szCs w:val="24"/>
                <w:lang w:val="ru-RU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ru-RU"/>
          </w:rPr>
          <m:t>=1</m:t>
        </m:r>
      </m:oMath>
      <w:r w:rsidRPr="00A0701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7228D17" w14:textId="77CDF674" w:rsidR="00987E0C" w:rsidRPr="00A0701B" w:rsidRDefault="00F50FAD" w:rsidP="00DA5990">
      <w:pPr>
        <w:pStyle w:val="ListParagraph"/>
        <w:spacing w:before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стандартное</w:t>
      </w:r>
      <w:r w:rsidR="00987E0C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отклонение показателя достаточности резервов для каждого страховщика и сегмента</w:t>
      </w:r>
      <w:r w:rsidR="007557BD" w:rsidRPr="00A070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87E0C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lob</m:t>
            </m:r>
          </m:sub>
        </m:sSub>
      </m:oMath>
      <w:r w:rsidR="007557BD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7E0C" w:rsidRPr="00A0701B">
        <w:rPr>
          <w:rFonts w:ascii="Times New Roman" w:hAnsi="Times New Roman" w:cs="Times New Roman"/>
          <w:sz w:val="24"/>
          <w:szCs w:val="24"/>
          <w:lang w:val="ru-RU"/>
        </w:rPr>
        <w:t>рассчитывается по следующей формуле:</w:t>
      </w:r>
    </w:p>
    <w:p w14:paraId="338B8918" w14:textId="51C58814" w:rsidR="007A5916" w:rsidRPr="00A0701B" w:rsidRDefault="00B31FAB" w:rsidP="0026297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C,lob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</m:den>
            </m:f>
          </m:e>
        </m:rad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-1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Y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А</m:t>
                    </m:r>
                  </m:e>
                </m:nary>
              </m:e>
            </m:d>
          </m:e>
        </m:rad>
        <m:r>
          <w:rPr>
            <w:rFonts w:ascii="Cambria Math" w:hAnsi="Cambria Math" w:cs="Times New Roman"/>
            <w:sz w:val="24"/>
            <w:szCs w:val="24"/>
            <w:lang w:val="ru-RU"/>
          </w:rPr>
          <m:t> </m:t>
        </m:r>
      </m:oMath>
      <w:r w:rsidR="002E7506">
        <w:rPr>
          <w:rFonts w:ascii="Times New Roman" w:eastAsiaTheme="minorEastAsia" w:hAnsi="Times New Roman" w:cs="Times New Roman"/>
          <w:sz w:val="24"/>
          <w:szCs w:val="24"/>
          <w:lang w:val="ru-RU"/>
        </w:rPr>
        <w:t>,</w:t>
      </w:r>
    </w:p>
    <w:p w14:paraId="33EC3E56" w14:textId="536E8B07" w:rsidR="001C4246" w:rsidRPr="00A0701B" w:rsidRDefault="002E7506" w:rsidP="00DA5990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при этом</w:t>
      </w:r>
    </w:p>
    <w:p w14:paraId="2CC0B350" w14:textId="4F13C957" w:rsidR="00DA5990" w:rsidRPr="00DA5990" w:rsidRDefault="00B31FAB" w:rsidP="0026297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C,lob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C,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,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lob</m:t>
            </m:r>
          </m:sub>
        </m:sSub>
      </m:oMath>
      <w:r w:rsidR="002E7506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14:paraId="48C2E2C8" w14:textId="6C55A5A6" w:rsidR="00422E9A" w:rsidRPr="00A0701B" w:rsidRDefault="00422E9A" w:rsidP="00262974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>Используется следующее обозначени</w:t>
      </w:r>
      <w:r w:rsidR="008C1A50" w:rsidRPr="00A070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782FF4D" w14:textId="2CAF9BED" w:rsidR="00422E9A" w:rsidRPr="00A0701B" w:rsidRDefault="00B31FAB" w:rsidP="00DA5990">
      <w:pPr>
        <w:spacing w:before="120" w:after="0" w:line="36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res,lob</m:t>
            </m:r>
          </m:sub>
        </m:sSub>
      </m:oMath>
      <w:r w:rsidR="00422E9A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50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2E7506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5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E7506"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тандартное </w:t>
      </w:r>
      <w:r w:rsidR="00422E9A" w:rsidRPr="00A0701B">
        <w:rPr>
          <w:rFonts w:ascii="Times New Roman" w:hAnsi="Times New Roman" w:cs="Times New Roman"/>
          <w:sz w:val="24"/>
          <w:szCs w:val="24"/>
          <w:lang w:val="ru-RU"/>
        </w:rPr>
        <w:t>отклонение риска премий для каждого сегмента</w:t>
      </w:r>
      <w:r w:rsidR="002E75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53A029" w14:textId="77777777" w:rsidR="00696701" w:rsidRPr="00A0701B" w:rsidRDefault="00696701" w:rsidP="00DA59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04D238" w14:textId="6BFC3A40" w:rsidR="00422E9A" w:rsidRPr="00A0701B" w:rsidRDefault="00422E9A" w:rsidP="00DA59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01B">
        <w:rPr>
          <w:rFonts w:ascii="Times New Roman" w:hAnsi="Times New Roman" w:cs="Times New Roman"/>
          <w:sz w:val="24"/>
          <w:szCs w:val="24"/>
          <w:lang w:val="ru-RU"/>
        </w:rPr>
        <w:t xml:space="preserve">Для получения общего стандартного отклонения для каждого сегмента,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σ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res,lob</m:t>
            </m:r>
          </m:sub>
        </m:sSub>
      </m:oMath>
      <w:r w:rsidRPr="00A0701B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 xml:space="preserve">, </w:t>
      </w:r>
      <w:r w:rsidRPr="00A0701B">
        <w:rPr>
          <w:rFonts w:ascii="Times New Roman" w:hAnsi="Times New Roman" w:cs="Times New Roman"/>
          <w:sz w:val="24"/>
          <w:szCs w:val="24"/>
          <w:lang w:val="ru-RU"/>
        </w:rPr>
        <w:t>рассчитывается средневзвешенное стандартное отклонение, полученное для каждого страховщика:</w:t>
      </w:r>
    </w:p>
    <w:p w14:paraId="110194EC" w14:textId="59E0178D" w:rsidR="00422E9A" w:rsidRPr="00A0701B" w:rsidRDefault="00B31FAB" w:rsidP="00262974">
      <w:pPr>
        <w:spacing w:before="120" w:after="0" w:line="360" w:lineRule="auto"/>
        <w:ind w:left="425" w:firstLine="29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ru-RU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σ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res,lob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ru-RU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C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C,lob</m:t>
                    </m:r>
                  </m:sub>
                </m:sSub>
              </m:e>
            </m:nary>
          </m:den>
        </m:f>
      </m:oMath>
      <w:r w:rsidR="002E7506">
        <w:rPr>
          <w:rFonts w:ascii="Times New Roman" w:eastAsiaTheme="minorEastAsia" w:hAnsi="Times New Roman" w:cs="Times New Roman"/>
          <w:bCs/>
          <w:sz w:val="24"/>
          <w:szCs w:val="24"/>
          <w:lang w:val="ru-RU"/>
        </w:rPr>
        <w:t>.</w:t>
      </w:r>
    </w:p>
    <w:p w14:paraId="5598204B" w14:textId="0EFCDB66" w:rsidR="003D0EBE" w:rsidRPr="00A0701B" w:rsidRDefault="003D0EBE" w:rsidP="00DA599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1DDC5555" w14:textId="77777777" w:rsidR="008D3D53" w:rsidRPr="00A0701B" w:rsidRDefault="008D3D53" w:rsidP="00DA599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3D53" w:rsidRPr="00A0701B" w:rsidSect="00780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2121" w14:textId="77777777" w:rsidR="00221A88" w:rsidRDefault="00221A88" w:rsidP="007808AC">
      <w:pPr>
        <w:spacing w:after="0" w:line="240" w:lineRule="auto"/>
      </w:pPr>
      <w:r>
        <w:separator/>
      </w:r>
    </w:p>
  </w:endnote>
  <w:endnote w:type="continuationSeparator" w:id="0">
    <w:p w14:paraId="05440CEB" w14:textId="77777777" w:rsidR="00221A88" w:rsidRDefault="00221A88" w:rsidP="0078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CFC3" w14:textId="77777777" w:rsidR="00221A88" w:rsidRDefault="00221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3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32B9B" w14:textId="00EE4743" w:rsidR="00221A88" w:rsidRDefault="00221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FA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E21F751" w14:textId="77777777" w:rsidR="00221A88" w:rsidRDefault="00221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8196" w14:textId="77777777" w:rsidR="00221A88" w:rsidRDefault="0022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F686" w14:textId="77777777" w:rsidR="00221A88" w:rsidRDefault="00221A88" w:rsidP="007808AC">
      <w:pPr>
        <w:spacing w:after="0" w:line="240" w:lineRule="auto"/>
      </w:pPr>
      <w:r>
        <w:separator/>
      </w:r>
    </w:p>
  </w:footnote>
  <w:footnote w:type="continuationSeparator" w:id="0">
    <w:p w14:paraId="2562DC82" w14:textId="77777777" w:rsidR="00221A88" w:rsidRDefault="00221A88" w:rsidP="007808AC">
      <w:pPr>
        <w:spacing w:after="0" w:line="240" w:lineRule="auto"/>
      </w:pPr>
      <w:r>
        <w:continuationSeparator/>
      </w:r>
    </w:p>
  </w:footnote>
  <w:footnote w:id="1">
    <w:p w14:paraId="10F2EB97" w14:textId="6DDB74EA" w:rsidR="00221A88" w:rsidRPr="00262974" w:rsidRDefault="00221A88">
      <w:pPr>
        <w:pStyle w:val="FootnoteText"/>
        <w:rPr>
          <w:rFonts w:ascii="Times New Roman" w:hAnsi="Times New Roman" w:cs="Times New Roman"/>
          <w:sz w:val="18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915270">
        <w:rPr>
          <w:rFonts w:ascii="Times New Roman" w:hAnsi="Times New Roman" w:cs="Times New Roman"/>
          <w:sz w:val="18"/>
        </w:rPr>
        <w:t>https://eiopa.europa.eu/Publications/QIS/CEIOPS-Calibration-paper-Solvency-II.pdf</w:t>
      </w:r>
      <w:r w:rsidR="00376570"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5F59" w14:textId="77777777" w:rsidR="00221A88" w:rsidRDefault="00221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770C" w14:textId="77777777" w:rsidR="00221A88" w:rsidRDefault="00221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5128" w14:textId="77777777" w:rsidR="00221A88" w:rsidRDefault="00221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B3"/>
    <w:multiLevelType w:val="hybridMultilevel"/>
    <w:tmpl w:val="EA86D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46016"/>
    <w:multiLevelType w:val="hybridMultilevel"/>
    <w:tmpl w:val="5DEC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C4898"/>
    <w:multiLevelType w:val="hybridMultilevel"/>
    <w:tmpl w:val="0E5E9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640D9"/>
    <w:multiLevelType w:val="hybridMultilevel"/>
    <w:tmpl w:val="F2D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523F"/>
    <w:multiLevelType w:val="hybridMultilevel"/>
    <w:tmpl w:val="FBA44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7220"/>
    <w:multiLevelType w:val="hybridMultilevel"/>
    <w:tmpl w:val="2DA43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47F8"/>
    <w:multiLevelType w:val="hybridMultilevel"/>
    <w:tmpl w:val="57AE1F4E"/>
    <w:lvl w:ilvl="0" w:tplc="3F82BEF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5C38"/>
    <w:multiLevelType w:val="hybridMultilevel"/>
    <w:tmpl w:val="59603922"/>
    <w:lvl w:ilvl="0" w:tplc="546E98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3C69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75397"/>
    <w:multiLevelType w:val="hybridMultilevel"/>
    <w:tmpl w:val="1146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D66DC"/>
    <w:multiLevelType w:val="hybridMultilevel"/>
    <w:tmpl w:val="BF9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2CDF"/>
    <w:multiLevelType w:val="hybridMultilevel"/>
    <w:tmpl w:val="646628F6"/>
    <w:lvl w:ilvl="0" w:tplc="3D44AE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786D"/>
    <w:multiLevelType w:val="hybridMultilevel"/>
    <w:tmpl w:val="7120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6E60"/>
    <w:multiLevelType w:val="hybridMultilevel"/>
    <w:tmpl w:val="D4EAB0AC"/>
    <w:lvl w:ilvl="0" w:tplc="A442E4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33DC8"/>
    <w:multiLevelType w:val="hybridMultilevel"/>
    <w:tmpl w:val="BD4C8768"/>
    <w:lvl w:ilvl="0" w:tplc="1BEC8EE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23F75"/>
    <w:multiLevelType w:val="hybridMultilevel"/>
    <w:tmpl w:val="719A9546"/>
    <w:lvl w:ilvl="0" w:tplc="4992D8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582"/>
    <w:multiLevelType w:val="hybridMultilevel"/>
    <w:tmpl w:val="1198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50DA0"/>
    <w:multiLevelType w:val="hybridMultilevel"/>
    <w:tmpl w:val="C2A4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3CEC"/>
    <w:multiLevelType w:val="hybridMultilevel"/>
    <w:tmpl w:val="D49CFC42"/>
    <w:lvl w:ilvl="0" w:tplc="546E98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563"/>
    <w:multiLevelType w:val="hybridMultilevel"/>
    <w:tmpl w:val="17A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829A6"/>
    <w:multiLevelType w:val="hybridMultilevel"/>
    <w:tmpl w:val="0ADCF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3144F"/>
    <w:multiLevelType w:val="hybridMultilevel"/>
    <w:tmpl w:val="A8B82DAC"/>
    <w:lvl w:ilvl="0" w:tplc="4992D81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D1832"/>
    <w:multiLevelType w:val="hybridMultilevel"/>
    <w:tmpl w:val="BC7A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C161E"/>
    <w:multiLevelType w:val="hybridMultilevel"/>
    <w:tmpl w:val="79E6FED0"/>
    <w:lvl w:ilvl="0" w:tplc="1BEC8EE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F1BB8"/>
    <w:multiLevelType w:val="hybridMultilevel"/>
    <w:tmpl w:val="567ADD3A"/>
    <w:lvl w:ilvl="0" w:tplc="A442E4B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83407"/>
    <w:multiLevelType w:val="hybridMultilevel"/>
    <w:tmpl w:val="64B60802"/>
    <w:lvl w:ilvl="0" w:tplc="1BEC8EE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79D1"/>
    <w:multiLevelType w:val="hybridMultilevel"/>
    <w:tmpl w:val="0DEC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D2782"/>
    <w:multiLevelType w:val="hybridMultilevel"/>
    <w:tmpl w:val="BAA27FAE"/>
    <w:lvl w:ilvl="0" w:tplc="4992D81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0729F"/>
    <w:multiLevelType w:val="hybridMultilevel"/>
    <w:tmpl w:val="149CF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934F1"/>
    <w:multiLevelType w:val="hybridMultilevel"/>
    <w:tmpl w:val="8C981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6B353E"/>
    <w:multiLevelType w:val="hybridMultilevel"/>
    <w:tmpl w:val="D7963C82"/>
    <w:lvl w:ilvl="0" w:tplc="93C20E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6751B6"/>
    <w:multiLevelType w:val="hybridMultilevel"/>
    <w:tmpl w:val="DAC6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912E2"/>
    <w:multiLevelType w:val="hybridMultilevel"/>
    <w:tmpl w:val="D12AC9B8"/>
    <w:lvl w:ilvl="0" w:tplc="1BEC8EE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7F77"/>
    <w:multiLevelType w:val="hybridMultilevel"/>
    <w:tmpl w:val="AECA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21"/>
  </w:num>
  <w:num w:numId="5">
    <w:abstractNumId w:val="15"/>
  </w:num>
  <w:num w:numId="6">
    <w:abstractNumId w:val="31"/>
  </w:num>
  <w:num w:numId="7">
    <w:abstractNumId w:val="11"/>
  </w:num>
  <w:num w:numId="8">
    <w:abstractNumId w:val="19"/>
  </w:num>
  <w:num w:numId="9">
    <w:abstractNumId w:val="2"/>
  </w:num>
  <w:num w:numId="10">
    <w:abstractNumId w:val="22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32"/>
  </w:num>
  <w:num w:numId="16">
    <w:abstractNumId w:val="25"/>
  </w:num>
  <w:num w:numId="17">
    <w:abstractNumId w:val="23"/>
  </w:num>
  <w:num w:numId="18">
    <w:abstractNumId w:val="1"/>
  </w:num>
  <w:num w:numId="19">
    <w:abstractNumId w:val="14"/>
  </w:num>
  <w:num w:numId="20">
    <w:abstractNumId w:val="12"/>
  </w:num>
  <w:num w:numId="21">
    <w:abstractNumId w:val="17"/>
  </w:num>
  <w:num w:numId="22">
    <w:abstractNumId w:val="30"/>
  </w:num>
  <w:num w:numId="23">
    <w:abstractNumId w:val="16"/>
  </w:num>
  <w:num w:numId="24">
    <w:abstractNumId w:val="7"/>
  </w:num>
  <w:num w:numId="25">
    <w:abstractNumId w:val="18"/>
  </w:num>
  <w:num w:numId="26">
    <w:abstractNumId w:val="33"/>
  </w:num>
  <w:num w:numId="27">
    <w:abstractNumId w:val="28"/>
  </w:num>
  <w:num w:numId="28">
    <w:abstractNumId w:val="24"/>
  </w:num>
  <w:num w:numId="29">
    <w:abstractNumId w:val="9"/>
  </w:num>
  <w:num w:numId="30">
    <w:abstractNumId w:val="20"/>
  </w:num>
  <w:num w:numId="31">
    <w:abstractNumId w:val="0"/>
  </w:num>
  <w:num w:numId="32">
    <w:abstractNumId w:val="4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EC"/>
    <w:rsid w:val="000163EC"/>
    <w:rsid w:val="000460EB"/>
    <w:rsid w:val="00053530"/>
    <w:rsid w:val="000607D5"/>
    <w:rsid w:val="00061852"/>
    <w:rsid w:val="000765AF"/>
    <w:rsid w:val="000821B7"/>
    <w:rsid w:val="000B684E"/>
    <w:rsid w:val="000C24BE"/>
    <w:rsid w:val="000F68F4"/>
    <w:rsid w:val="001000B4"/>
    <w:rsid w:val="001472AB"/>
    <w:rsid w:val="00164A49"/>
    <w:rsid w:val="001871B5"/>
    <w:rsid w:val="001C3387"/>
    <w:rsid w:val="001C4246"/>
    <w:rsid w:val="001E72B6"/>
    <w:rsid w:val="001F2312"/>
    <w:rsid w:val="0020382D"/>
    <w:rsid w:val="00207F4A"/>
    <w:rsid w:val="00221A88"/>
    <w:rsid w:val="00250871"/>
    <w:rsid w:val="00262974"/>
    <w:rsid w:val="002850E4"/>
    <w:rsid w:val="002906E5"/>
    <w:rsid w:val="002E7506"/>
    <w:rsid w:val="002F21C8"/>
    <w:rsid w:val="003176D6"/>
    <w:rsid w:val="003275FC"/>
    <w:rsid w:val="00332B10"/>
    <w:rsid w:val="00337957"/>
    <w:rsid w:val="00350AC0"/>
    <w:rsid w:val="00376570"/>
    <w:rsid w:val="00397880"/>
    <w:rsid w:val="003A0E61"/>
    <w:rsid w:val="003B467B"/>
    <w:rsid w:val="003B4E80"/>
    <w:rsid w:val="003D0EBE"/>
    <w:rsid w:val="003E73DB"/>
    <w:rsid w:val="004026A8"/>
    <w:rsid w:val="00422E9A"/>
    <w:rsid w:val="00465EE7"/>
    <w:rsid w:val="00472E31"/>
    <w:rsid w:val="004D7127"/>
    <w:rsid w:val="004E67A4"/>
    <w:rsid w:val="00517D91"/>
    <w:rsid w:val="005304C6"/>
    <w:rsid w:val="005451FF"/>
    <w:rsid w:val="0057264F"/>
    <w:rsid w:val="00590BFE"/>
    <w:rsid w:val="005A6EB4"/>
    <w:rsid w:val="005C12B3"/>
    <w:rsid w:val="00660722"/>
    <w:rsid w:val="00666910"/>
    <w:rsid w:val="00696701"/>
    <w:rsid w:val="006A604E"/>
    <w:rsid w:val="006B45F2"/>
    <w:rsid w:val="006D1F3E"/>
    <w:rsid w:val="00730BEC"/>
    <w:rsid w:val="007557BD"/>
    <w:rsid w:val="00755B61"/>
    <w:rsid w:val="007808AC"/>
    <w:rsid w:val="007A5916"/>
    <w:rsid w:val="007B601D"/>
    <w:rsid w:val="007D2701"/>
    <w:rsid w:val="007F7303"/>
    <w:rsid w:val="008032F8"/>
    <w:rsid w:val="00815BE4"/>
    <w:rsid w:val="00816014"/>
    <w:rsid w:val="008330D5"/>
    <w:rsid w:val="008C1A50"/>
    <w:rsid w:val="008D16DA"/>
    <w:rsid w:val="008D3D53"/>
    <w:rsid w:val="00926666"/>
    <w:rsid w:val="00930275"/>
    <w:rsid w:val="00945825"/>
    <w:rsid w:val="00981FCD"/>
    <w:rsid w:val="00985BD1"/>
    <w:rsid w:val="00987E0C"/>
    <w:rsid w:val="009C3088"/>
    <w:rsid w:val="009E657C"/>
    <w:rsid w:val="00A0701B"/>
    <w:rsid w:val="00A11B94"/>
    <w:rsid w:val="00A47A19"/>
    <w:rsid w:val="00A773A0"/>
    <w:rsid w:val="00A92A47"/>
    <w:rsid w:val="00AA12F6"/>
    <w:rsid w:val="00AA7542"/>
    <w:rsid w:val="00AC5731"/>
    <w:rsid w:val="00AC6FE9"/>
    <w:rsid w:val="00B13FE2"/>
    <w:rsid w:val="00B31FAB"/>
    <w:rsid w:val="00B32AC5"/>
    <w:rsid w:val="00B44379"/>
    <w:rsid w:val="00B5041D"/>
    <w:rsid w:val="00B66958"/>
    <w:rsid w:val="00B705DD"/>
    <w:rsid w:val="00B73482"/>
    <w:rsid w:val="00B92A4A"/>
    <w:rsid w:val="00BA7B33"/>
    <w:rsid w:val="00BB5275"/>
    <w:rsid w:val="00BC3DB2"/>
    <w:rsid w:val="00C22D6D"/>
    <w:rsid w:val="00C73BBF"/>
    <w:rsid w:val="00CA1816"/>
    <w:rsid w:val="00CA1877"/>
    <w:rsid w:val="00CA745C"/>
    <w:rsid w:val="00CC29BF"/>
    <w:rsid w:val="00CD7BE5"/>
    <w:rsid w:val="00D16B35"/>
    <w:rsid w:val="00D37A13"/>
    <w:rsid w:val="00D43577"/>
    <w:rsid w:val="00D641D6"/>
    <w:rsid w:val="00D71821"/>
    <w:rsid w:val="00D83582"/>
    <w:rsid w:val="00DA5990"/>
    <w:rsid w:val="00DB44A7"/>
    <w:rsid w:val="00DE065E"/>
    <w:rsid w:val="00E16F8D"/>
    <w:rsid w:val="00E52037"/>
    <w:rsid w:val="00E72411"/>
    <w:rsid w:val="00EA31BE"/>
    <w:rsid w:val="00EB355A"/>
    <w:rsid w:val="00EC2E23"/>
    <w:rsid w:val="00ED607D"/>
    <w:rsid w:val="00EF21DB"/>
    <w:rsid w:val="00F36D24"/>
    <w:rsid w:val="00F50FAD"/>
    <w:rsid w:val="00F6015B"/>
    <w:rsid w:val="00F82BF1"/>
    <w:rsid w:val="00FA52EA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C407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24"/>
  </w:style>
  <w:style w:type="paragraph" w:styleId="Heading1">
    <w:name w:val="heading 1"/>
    <w:basedOn w:val="Normal"/>
    <w:next w:val="Normal"/>
    <w:link w:val="Heading1Char"/>
    <w:uiPriority w:val="9"/>
    <w:qFormat/>
    <w:rsid w:val="008032F8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7A19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D24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8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AC"/>
  </w:style>
  <w:style w:type="paragraph" w:styleId="Footer">
    <w:name w:val="footer"/>
    <w:basedOn w:val="Normal"/>
    <w:link w:val="FooterChar"/>
    <w:uiPriority w:val="99"/>
    <w:unhideWhenUsed/>
    <w:rsid w:val="007808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AC"/>
  </w:style>
  <w:style w:type="paragraph" w:styleId="ListParagraph">
    <w:name w:val="List Paragraph"/>
    <w:basedOn w:val="Normal"/>
    <w:uiPriority w:val="34"/>
    <w:qFormat/>
    <w:rsid w:val="00DB44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5825"/>
    <w:rPr>
      <w:color w:val="808080"/>
    </w:rPr>
  </w:style>
  <w:style w:type="character" w:customStyle="1" w:styleId="Bodytext18">
    <w:name w:val="Body text (18)_"/>
    <w:basedOn w:val="DefaultParagraphFont"/>
    <w:link w:val="Bodytext180"/>
    <w:rsid w:val="009458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0)_"/>
    <w:basedOn w:val="DefaultParagraphFont"/>
    <w:link w:val="Bodytext200"/>
    <w:rsid w:val="009458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458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36pt">
    <w:name w:val="Body text (3) + 6 pt"/>
    <w:basedOn w:val="Bodytext3"/>
    <w:rsid w:val="0094582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18Arial85ptBold">
    <w:name w:val="Body text (18) + Arial;8;5 pt;Bold"/>
    <w:basedOn w:val="Bodytext18"/>
    <w:rsid w:val="0094582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945825"/>
    <w:rPr>
      <w:rFonts w:ascii="Times New Roman" w:eastAsia="Times New Roman" w:hAnsi="Times New Roman" w:cs="Times New Roman"/>
      <w:sz w:val="20"/>
      <w:szCs w:val="20"/>
      <w:shd w:val="clear" w:color="auto" w:fill="FFFFFF"/>
      <w:lang w:val="ru-RU"/>
    </w:rPr>
  </w:style>
  <w:style w:type="paragraph" w:customStyle="1" w:styleId="Bodytext180">
    <w:name w:val="Body text (18)"/>
    <w:basedOn w:val="Normal"/>
    <w:link w:val="Bodytext18"/>
    <w:rsid w:val="00945825"/>
    <w:pPr>
      <w:shd w:val="clear" w:color="auto" w:fill="FFFFFF"/>
      <w:spacing w:after="360" w:line="0" w:lineRule="atLeas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Bodytext200">
    <w:name w:val="Body text (20)"/>
    <w:basedOn w:val="Normal"/>
    <w:link w:val="Bodytext20"/>
    <w:rsid w:val="009458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30">
    <w:name w:val="Body text (3)"/>
    <w:basedOn w:val="Normal"/>
    <w:link w:val="Bodytext3"/>
    <w:rsid w:val="00945825"/>
    <w:pPr>
      <w:shd w:val="clear" w:color="auto" w:fill="FFFFFF"/>
      <w:spacing w:after="0" w:line="0" w:lineRule="atLeast"/>
      <w:ind w:hanging="13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190">
    <w:name w:val="Body text (19)"/>
    <w:basedOn w:val="Normal"/>
    <w:link w:val="Bodytext19"/>
    <w:rsid w:val="009458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1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1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1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32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7A19"/>
    <w:rPr>
      <w:rFonts w:ascii="Times New Roman" w:eastAsiaTheme="majorEastAsia" w:hAnsi="Times New Roman" w:cs="Times New Roman"/>
      <w:b/>
      <w:lang w:val="ru-RU"/>
    </w:rPr>
  </w:style>
  <w:style w:type="table" w:styleId="TableGrid">
    <w:name w:val="Table Grid"/>
    <w:basedOn w:val="TableNormal"/>
    <w:uiPriority w:val="39"/>
    <w:rsid w:val="0033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32B10"/>
    <w:pPr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032F8"/>
    <w:pPr>
      <w:tabs>
        <w:tab w:val="right" w:leader="dot" w:pos="9350"/>
      </w:tabs>
      <w:spacing w:after="100"/>
      <w:jc w:val="both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332B10"/>
    <w:pPr>
      <w:spacing w:after="100"/>
      <w:ind w:left="220"/>
      <w:jc w:val="both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332B10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332B10"/>
  </w:style>
  <w:style w:type="table" w:customStyle="1" w:styleId="TableGrid1">
    <w:name w:val="Table Grid1"/>
    <w:basedOn w:val="TableNormal"/>
    <w:next w:val="TableGrid"/>
    <w:uiPriority w:val="39"/>
    <w:rsid w:val="0033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4C9B-F654-4E60-BDF8-7D413E5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2018-10-23T10:15:00Z</dcterms:created>
  <dcterms:modified xsi:type="dcterms:W3CDTF">2018-10-29T14:57:00Z</dcterms:modified>
</cp:coreProperties>
</file>