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C0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Pr="005D11BC" w:rsidRDefault="00FC5BC0" w:rsidP="005D11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BC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5D11BC" w:rsidRPr="005D11BC">
        <w:rPr>
          <w:rFonts w:ascii="Times New Roman" w:hAnsi="Times New Roman" w:cs="Times New Roman"/>
          <w:bCs/>
          <w:color w:val="000000"/>
          <w:sz w:val="28"/>
          <w:szCs w:val="28"/>
        </w:rPr>
        <w:t>БАНК «НЕЙВА» Общество с ограниченной ответственностью</w:t>
      </w:r>
      <w:r w:rsidR="005D11BC" w:rsidRPr="005D11BC">
        <w:rPr>
          <w:rFonts w:ascii="Times New Roman" w:hAnsi="Times New Roman" w:cs="Times New Roman"/>
          <w:sz w:val="28"/>
          <w:szCs w:val="28"/>
        </w:rPr>
        <w:t xml:space="preserve"> </w:t>
      </w:r>
      <w:r w:rsidR="00580CA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D11BC">
        <w:rPr>
          <w:rFonts w:ascii="Times New Roman" w:hAnsi="Times New Roman" w:cs="Times New Roman"/>
          <w:sz w:val="28"/>
          <w:szCs w:val="28"/>
        </w:rPr>
        <w:t xml:space="preserve">(ОГРН </w:t>
      </w:r>
      <w:r w:rsidR="005D11BC" w:rsidRPr="005D11BC">
        <w:rPr>
          <w:rFonts w:ascii="Times New Roman" w:hAnsi="Times New Roman" w:cs="Times New Roman"/>
          <w:bCs/>
          <w:color w:val="000000"/>
          <w:sz w:val="28"/>
          <w:szCs w:val="28"/>
        </w:rPr>
        <w:t>1026600006510</w:t>
      </w:r>
      <w:r w:rsidRPr="005D11BC">
        <w:rPr>
          <w:rFonts w:ascii="Times New Roman" w:hAnsi="Times New Roman" w:cs="Times New Roman"/>
          <w:sz w:val="28"/>
          <w:szCs w:val="28"/>
        </w:rPr>
        <w:t xml:space="preserve">, ИНН </w:t>
      </w:r>
      <w:r w:rsidR="005D11BC" w:rsidRPr="005D11BC">
        <w:rPr>
          <w:rFonts w:ascii="Times New Roman" w:hAnsi="Times New Roman" w:cs="Times New Roman"/>
          <w:bCs/>
          <w:color w:val="000000"/>
          <w:sz w:val="28"/>
          <w:szCs w:val="28"/>
        </w:rPr>
        <w:t>6629001024</w:t>
      </w:r>
      <w:r w:rsidRPr="005D11BC">
        <w:rPr>
          <w:rFonts w:ascii="Times New Roman" w:hAnsi="Times New Roman" w:cs="Times New Roman"/>
          <w:sz w:val="28"/>
          <w:szCs w:val="28"/>
        </w:rPr>
        <w:t>),</w:t>
      </w:r>
      <w:r w:rsidRPr="005D11BC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5D11BC">
        <w:rPr>
          <w:rFonts w:ascii="Times New Roman" w:hAnsi="Times New Roman" w:cs="Times New Roman"/>
          <w:sz w:val="28"/>
          <w:szCs w:val="28"/>
        </w:rPr>
        <w:t>назначенная приказом Банка России от 16 апреля 2021 года № ОД-69</w:t>
      </w:r>
      <w:r w:rsidR="005D11BC" w:rsidRPr="005D11BC">
        <w:rPr>
          <w:rFonts w:ascii="Times New Roman" w:hAnsi="Times New Roman" w:cs="Times New Roman"/>
          <w:sz w:val="28"/>
          <w:szCs w:val="28"/>
        </w:rPr>
        <w:t>0</w:t>
      </w:r>
      <w:r w:rsidRPr="005D11BC">
        <w:rPr>
          <w:rFonts w:ascii="Times New Roman" w:hAnsi="Times New Roman" w:cs="Times New Roman"/>
          <w:sz w:val="28"/>
          <w:szCs w:val="28"/>
        </w:rPr>
        <w:t>, извещает кредиторов о возможности предъявления своих требований в соответствии с пунктом 12 статьи 189</w:t>
      </w:r>
      <w:r w:rsidRPr="005D11BC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5D11BC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 года № 127-ФЗ «О несостоятельности (банкротстве)» по адресу: </w:t>
      </w:r>
      <w:r w:rsidR="005D11BC" w:rsidRPr="005D11BC">
        <w:rPr>
          <w:rFonts w:ascii="Times New Roman" w:hAnsi="Times New Roman" w:cs="Times New Roman"/>
          <w:color w:val="000000"/>
          <w:sz w:val="28"/>
          <w:szCs w:val="28"/>
        </w:rPr>
        <w:t>620063, г. Екатеринбург, ул. Чапаева, дом 3а</w:t>
      </w:r>
      <w:r w:rsidRPr="005D1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2DC" w:rsidRDefault="00F202DC"/>
    <w:sectPr w:rsidR="00F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C0"/>
    <w:rsid w:val="00580CAA"/>
    <w:rsid w:val="005D11BC"/>
    <w:rsid w:val="005D58B7"/>
    <w:rsid w:val="00F202DC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0917-E576-42E6-990B-2451FCD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2021-04-22T10:45:00Z</dcterms:created>
  <dcterms:modified xsi:type="dcterms:W3CDTF">2021-04-22T10:45:00Z</dcterms:modified>
</cp:coreProperties>
</file>