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C70" w:rsidRDefault="004E7C70" w:rsidP="004E7C70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</w:pPr>
      <w:bookmarkStart w:id="0" w:name="_GoBack"/>
      <w:bookmarkEnd w:id="0"/>
      <w:r w:rsidRPr="004E7C70"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  <w:t xml:space="preserve">Опубликовано на сайте ГК «АСВ» </w:t>
      </w:r>
      <w:r w:rsidRPr="004E7C70"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  <w:t>27.02.2019</w:t>
      </w:r>
    </w:p>
    <w:p w:rsidR="004E7C70" w:rsidRPr="004E7C70" w:rsidRDefault="004E7C70" w:rsidP="004E7C70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</w:pPr>
    </w:p>
    <w:p w:rsidR="004E7C70" w:rsidRDefault="004E7C70" w:rsidP="004E7C7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4E7C7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Сведения о ходе конкурсного производства в отношении </w:t>
      </w:r>
    </w:p>
    <w:p w:rsidR="004E7C70" w:rsidRPr="004E7C70" w:rsidRDefault="004E7C70" w:rsidP="004E7C7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E7C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Банк</w:t>
      </w:r>
      <w:r w:rsidRPr="004E7C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r w:rsidRPr="004E7C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«Первомайский» (ПАО)</w:t>
      </w:r>
    </w:p>
    <w:p w:rsidR="004E7C70" w:rsidRPr="004E7C70" w:rsidRDefault="004E7C70" w:rsidP="004E7C7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</w:p>
    <w:p w:rsidR="004E7C70" w:rsidRPr="004E7C70" w:rsidRDefault="004E7C70" w:rsidP="004E7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7C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Решением Арбитражного суда Краснодарского края от 31 января 2019 года (резолютивная часть объявлена 28 января 2019 года) по делу № А32-52667/2018 Банк «Первомайский» (публичное акционерное общество) (Банк «Первомайский» (ПАО)) (далее – Банк), ОГРН 1022300001063, ИНН 2310050140, адрес регистрации: 350020, г. Краснодар, ул. Красная, д. 139, признан несостоятельным (банкротом) и в отношении него открыто конкурсное производство сроком на один год. Функции конкурсного управляющего возложены на государственную корпорацию «Агентство по страхованию вкладов» (далее – Агентство).</w:t>
      </w:r>
    </w:p>
    <w:p w:rsidR="004E7C70" w:rsidRPr="004E7C70" w:rsidRDefault="004E7C70" w:rsidP="004E7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7C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Судебное заседание по рассмотрению отчета конкурсного управляющего назначено на 30 января 2020 года.</w:t>
      </w:r>
    </w:p>
    <w:p w:rsidR="004E7C70" w:rsidRPr="004E7C70" w:rsidRDefault="004E7C70" w:rsidP="004E7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7C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Адрес для направления почтовой корреспонденции, в том числе требований кредиторов: 127055, г. Москва, ул. Лесная, д. 59, стр. 2.</w:t>
      </w:r>
    </w:p>
    <w:p w:rsidR="004E7C70" w:rsidRPr="004E7C70" w:rsidRDefault="004E7C70" w:rsidP="004E7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7C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требованиями Федерального закона от 26 октября 2002 года № 127-ФЗ «О несостоятельности (банкротстве)» Агентство публикует сведения о ходе конкурсного производства в отношении Банка.</w:t>
      </w:r>
    </w:p>
    <w:p w:rsidR="004E7C70" w:rsidRPr="004E7C70" w:rsidRDefault="004E7C70" w:rsidP="004E7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7C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состоянию на дату открытия конкурсного производства (28 января 2019 года) по данным временной администрации по управлению Банком балансовая стоимость активов Банка, с учетом исключения из них суммы созданного резерва на возможные потери и амортизации основных средств, составила 7 584 625 тыс. руб., из них на счетах в Банке России – 2 979 275 тыс. руб. (в том числе обязательные резервы – 49 343 тыс. руб.), денежные средства в кассе – 26 465 тыс. руб., средства в кредитных организациях – 517 000 тыс. руб., финансовые активы, оцениваемые по справедливой стоимости через прибыль или убыток – 85 848 тыс. руб., чистая ссудная задолженность – 3 721 789 тыс. руб., чистые вложения в ценные бумаги и другие финансовые активы, имеющиеся в наличии для продажи – 16 295 тыс. руб., требование по текущему налогу на прибыль – 13 тыс. руб., долгосрочные активы, предназначенные для продажи – 30 943 тыс. руб., основные средства, нематериальные активы и материальные запасы – 92 713 тыс. руб., прочие активы – 114 284 тыс. руб.</w:t>
      </w:r>
    </w:p>
    <w:p w:rsidR="004E7C70" w:rsidRPr="004E7C70" w:rsidRDefault="004E7C70" w:rsidP="004E7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7C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результатам анализа финансового состояния Банка установлено, что в рамках своей деятельности Банк использовал универсальную бизнес-модель, выражающуюся в кредитовании физических и юридических лиц с привлечением в качестве основного источника фондирования денежных средств населения.</w:t>
      </w:r>
    </w:p>
    <w:p w:rsidR="004E7C70" w:rsidRPr="004E7C70" w:rsidRDefault="004E7C70" w:rsidP="004E7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7C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структуре активов Банка 67% приходится на ссудную задолженность юридических и физических лиц. Проведенное исследование показывает, что из 782 кредитных договоров на общую сумму 2,2 млрд руб., заключенных с юридическими лицами и индивидуальными предпринимателями, свыше 20% приходится на заемщиков, занимающихся ломбардной и иной финансовой деятельностью и имеющих взаимосвязь с Банком. Кроме того, свыше 40% кредитов из портфеля физических лиц имеют просроченные платежи свыше 90 дней. При этом в целях выполнения нормативных требований Банка России Банком проводились сделки по сокрытию указанной просроченной задолженности.</w:t>
      </w:r>
    </w:p>
    <w:p w:rsidR="004E7C70" w:rsidRPr="004E7C70" w:rsidRDefault="004E7C70" w:rsidP="004E7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7C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Действующая в Банке политика в области оценки рисков привела к полной утрате последним собственных средств (капитала) и образованию дисбаланса между справедливой стоимостью активов и балансовой величиной обязательств Банка. Данное обстоятельство послужило одним из оснований для применения </w:t>
      </w:r>
      <w:r w:rsidRPr="004E7C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Банком России к Банку крайней меры – отзыва с 23 ноября 2018 года у Банка лицензии на осуществление банковских операций</w:t>
      </w:r>
    </w:p>
    <w:p w:rsidR="004E7C70" w:rsidRPr="004E7C70" w:rsidRDefault="004E7C70" w:rsidP="004E7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7C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настоящее время конкурсным управляющим проводится работа по установлению местонахождения должников, их действительного финансового состояния и наличия реального обеспечения по кредитным договорам.</w:t>
      </w:r>
    </w:p>
    <w:p w:rsidR="004E7C70" w:rsidRPr="004E7C70" w:rsidRDefault="004E7C70" w:rsidP="004E7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7C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Сохранность имущества и документации Банка, переданных временной администрацией по управлению кредитной организацией, конкурсным управляющим обеспечена. В настоящее время проводится инвентаризация имущества, по результатам которой при необходимости в баланс Банка будут внесены соответствующие уточнения.</w:t>
      </w:r>
    </w:p>
    <w:p w:rsidR="004E7C70" w:rsidRPr="004E7C70" w:rsidRDefault="004E7C70" w:rsidP="004E7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7C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Обязательства Банка по балансу составили 7 883 338 тыс. руб., в том числе обязательства перед физическими лицами и индивидуальными предпринимателями – 6 924 625 тыс. руб.</w:t>
      </w:r>
    </w:p>
    <w:p w:rsidR="004E7C70" w:rsidRPr="004E7C70" w:rsidRDefault="004E7C70" w:rsidP="004E7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7C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состоянию на 22 февраля 2019 года конкурсному управляющему Банком предъявлены требования 2 402 заявителей на общую сумму 7 365 974 тыс. руб., которые находятся на рассмотрении. Дата закрытия реестра требований кредиторов Банка – 10 апреля 2019 года.</w:t>
      </w:r>
    </w:p>
    <w:p w:rsidR="004E7C70" w:rsidRPr="004E7C70" w:rsidRDefault="004E7C70" w:rsidP="004E7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7C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предварительной оценке конкурсного управляющего, с учетом необходимости оплаты текущих расходов на проведение конкурсного производства, на удовлетворение требований кредиторов Банка после закрытия реестра требований кредиторов на первоначальном этапе могут быть направлены денежные средства в размере не более 2 500 000 тыс. руб.</w:t>
      </w:r>
    </w:p>
    <w:p w:rsidR="004E7C70" w:rsidRPr="004E7C70" w:rsidRDefault="004E7C70" w:rsidP="004E7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7C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целом размер дальнейшего удовлетворения требований кредиторов Банка будет зависеть от поступления денежных средств в конкурсную массу от реализации имущества Банка и взыскания активов, ответственность за качество которых несут бывшие собственники и руководство Банка.</w:t>
      </w:r>
    </w:p>
    <w:p w:rsidR="005F01C5" w:rsidRPr="004E7C70" w:rsidRDefault="005F01C5" w:rsidP="004E7C7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5F01C5" w:rsidRPr="004E7C70" w:rsidSect="004E7C70">
      <w:footerReference w:type="default" r:id="rId7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FFD" w:rsidRDefault="00F43FFD" w:rsidP="004E7C70">
      <w:pPr>
        <w:spacing w:after="0" w:line="240" w:lineRule="auto"/>
      </w:pPr>
      <w:r>
        <w:separator/>
      </w:r>
    </w:p>
  </w:endnote>
  <w:endnote w:type="continuationSeparator" w:id="0">
    <w:p w:rsidR="00F43FFD" w:rsidRDefault="00F43FFD" w:rsidP="004E7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2867220"/>
      <w:docPartObj>
        <w:docPartGallery w:val="Page Numbers (Bottom of Page)"/>
        <w:docPartUnique/>
      </w:docPartObj>
    </w:sdtPr>
    <w:sdtContent>
      <w:p w:rsidR="004E7C70" w:rsidRDefault="004E7C7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E7C70" w:rsidRDefault="004E7C7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FFD" w:rsidRDefault="00F43FFD" w:rsidP="004E7C70">
      <w:pPr>
        <w:spacing w:after="0" w:line="240" w:lineRule="auto"/>
      </w:pPr>
      <w:r>
        <w:separator/>
      </w:r>
    </w:p>
  </w:footnote>
  <w:footnote w:type="continuationSeparator" w:id="0">
    <w:p w:rsidR="00F43FFD" w:rsidRDefault="00F43FFD" w:rsidP="004E7C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C70"/>
    <w:rsid w:val="004E7C70"/>
    <w:rsid w:val="005F01C5"/>
    <w:rsid w:val="00F4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E7C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7C70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paragraph" w:styleId="a3">
    <w:name w:val="Normal (Web)"/>
    <w:basedOn w:val="a"/>
    <w:uiPriority w:val="99"/>
    <w:semiHidden/>
    <w:unhideWhenUsed/>
    <w:rsid w:val="004E7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4E7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E7C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E7C70"/>
  </w:style>
  <w:style w:type="paragraph" w:styleId="a6">
    <w:name w:val="footer"/>
    <w:basedOn w:val="a"/>
    <w:link w:val="a7"/>
    <w:uiPriority w:val="99"/>
    <w:unhideWhenUsed/>
    <w:rsid w:val="004E7C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7C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E7C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7C70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paragraph" w:styleId="a3">
    <w:name w:val="Normal (Web)"/>
    <w:basedOn w:val="a"/>
    <w:uiPriority w:val="99"/>
    <w:semiHidden/>
    <w:unhideWhenUsed/>
    <w:rsid w:val="004E7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4E7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E7C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E7C70"/>
  </w:style>
  <w:style w:type="paragraph" w:styleId="a6">
    <w:name w:val="footer"/>
    <w:basedOn w:val="a"/>
    <w:link w:val="a7"/>
    <w:uiPriority w:val="99"/>
    <w:unhideWhenUsed/>
    <w:rsid w:val="004E7C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7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541307">
              <w:marLeft w:val="0"/>
              <w:marRight w:val="0"/>
              <w:marTop w:val="0"/>
              <w:marBottom w:val="0"/>
              <w:divBdr>
                <w:top w:val="single" w:sz="24" w:space="8" w:color="486BAD"/>
                <w:left w:val="single" w:sz="24" w:space="8" w:color="486BAD"/>
                <w:bottom w:val="single" w:sz="24" w:space="0" w:color="486BAD"/>
                <w:right w:val="single" w:sz="24" w:space="8" w:color="486BAD"/>
              </w:divBdr>
              <w:divsChild>
                <w:div w:id="451633541">
                  <w:marLeft w:val="1"/>
                  <w:marRight w:val="1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9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Прокопышина Елена Анатольевна</dc:creator>
  <cp:lastModifiedBy>Прокопышина Елена Анатольевна</cp:lastModifiedBy>
  <cp:revision>1</cp:revision>
  <dcterms:created xsi:type="dcterms:W3CDTF">2019-03-01T10:43:00Z</dcterms:created>
  <dcterms:modified xsi:type="dcterms:W3CDTF">2019-03-01T10:45:00Z</dcterms:modified>
</cp:coreProperties>
</file>