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56" w:rsidRPr="00F23256" w:rsidRDefault="00F23256" w:rsidP="00F23256">
      <w:pPr>
        <w:spacing w:after="0" w:line="240" w:lineRule="auto"/>
        <w:jc w:val="both"/>
        <w:rPr>
          <w:rFonts w:ascii="Times New Roman" w:eastAsia="Times New Roman" w:hAnsi="Times New Roman" w:cs="Times New Roman"/>
          <w:b/>
          <w:color w:val="0070C0"/>
          <w:sz w:val="16"/>
          <w:szCs w:val="16"/>
          <w:lang w:eastAsia="ru-RU"/>
        </w:rPr>
      </w:pPr>
      <w:bookmarkStart w:id="0" w:name="_GoBack"/>
      <w:bookmarkEnd w:id="0"/>
      <w:r w:rsidRPr="00F23256">
        <w:rPr>
          <w:rFonts w:ascii="Times New Roman" w:eastAsia="Times New Roman" w:hAnsi="Times New Roman" w:cs="Times New Roman"/>
          <w:b/>
          <w:color w:val="0070C0"/>
          <w:sz w:val="16"/>
          <w:szCs w:val="16"/>
          <w:lang w:eastAsia="ru-RU"/>
        </w:rPr>
        <w:t xml:space="preserve">Опубликовано на сайте ГК «АСВ» </w:t>
      </w:r>
      <w:r w:rsidRPr="00F23256">
        <w:rPr>
          <w:rFonts w:ascii="Times New Roman" w:eastAsia="Times New Roman" w:hAnsi="Times New Roman" w:cs="Times New Roman"/>
          <w:b/>
          <w:color w:val="0070C0"/>
          <w:sz w:val="16"/>
          <w:szCs w:val="16"/>
          <w:lang w:eastAsia="ru-RU"/>
        </w:rPr>
        <w:t>16.01.2019</w:t>
      </w:r>
    </w:p>
    <w:p w:rsidR="00F23256" w:rsidRPr="00F23256" w:rsidRDefault="00F23256" w:rsidP="00F23256">
      <w:pPr>
        <w:spacing w:after="0" w:line="240" w:lineRule="auto"/>
        <w:jc w:val="both"/>
        <w:rPr>
          <w:rFonts w:ascii="Times New Roman" w:eastAsia="Times New Roman" w:hAnsi="Times New Roman" w:cs="Times New Roman"/>
          <w:color w:val="666666"/>
          <w:sz w:val="26"/>
          <w:szCs w:val="26"/>
          <w:lang w:eastAsia="ru-RU"/>
        </w:rPr>
      </w:pPr>
    </w:p>
    <w:p w:rsidR="00F23256" w:rsidRDefault="00F23256" w:rsidP="00F23256">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F23256">
        <w:rPr>
          <w:rFonts w:ascii="Times New Roman" w:eastAsia="Times New Roman" w:hAnsi="Times New Roman" w:cs="Times New Roman"/>
          <w:b/>
          <w:bCs/>
          <w:color w:val="000000"/>
          <w:kern w:val="36"/>
          <w:sz w:val="28"/>
          <w:szCs w:val="28"/>
          <w:lang w:eastAsia="ru-RU"/>
        </w:rPr>
        <w:t xml:space="preserve">Сведения о ходе конкурсного производства в отношении </w:t>
      </w:r>
    </w:p>
    <w:p w:rsidR="00F23256" w:rsidRPr="00F23256" w:rsidRDefault="00F23256" w:rsidP="00F23256">
      <w:pPr>
        <w:spacing w:after="0" w:line="240" w:lineRule="auto"/>
        <w:jc w:val="center"/>
        <w:outlineLvl w:val="0"/>
        <w:rPr>
          <w:rFonts w:ascii="Times New Roman" w:eastAsia="Times New Roman" w:hAnsi="Times New Roman" w:cs="Times New Roman"/>
          <w:b/>
          <w:color w:val="000000"/>
          <w:sz w:val="28"/>
          <w:szCs w:val="28"/>
          <w:lang w:eastAsia="ru-RU"/>
        </w:rPr>
      </w:pPr>
      <w:r w:rsidRPr="00F23256">
        <w:rPr>
          <w:rFonts w:ascii="Times New Roman" w:eastAsia="Times New Roman" w:hAnsi="Times New Roman" w:cs="Times New Roman"/>
          <w:b/>
          <w:color w:val="000000"/>
          <w:sz w:val="28"/>
          <w:szCs w:val="28"/>
          <w:lang w:eastAsia="ru-RU"/>
        </w:rPr>
        <w:t>ООО КБ «Конфидэнс Банк»</w:t>
      </w:r>
    </w:p>
    <w:p w:rsidR="00F23256" w:rsidRPr="00F23256" w:rsidRDefault="00F23256" w:rsidP="00F23256">
      <w:pPr>
        <w:spacing w:after="0" w:line="240" w:lineRule="auto"/>
        <w:outlineLvl w:val="0"/>
        <w:rPr>
          <w:rFonts w:ascii="Times New Roman" w:eastAsia="Times New Roman" w:hAnsi="Times New Roman" w:cs="Times New Roman"/>
          <w:b/>
          <w:bCs/>
          <w:color w:val="000000"/>
          <w:kern w:val="36"/>
          <w:sz w:val="26"/>
          <w:szCs w:val="26"/>
          <w:lang w:eastAsia="ru-RU"/>
        </w:rPr>
      </w:pP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Решением Арбитражного суда Костромской области от 20 июля 2018 года (дата объявления резолютивной части – 13 июля 2018 года) по делу № А31-5798/2018 Общество с ограниченной ответственностью Коммерческий Банк «Конфидэнс Банк» (ООО КБ «Конфидэнс Банк»), далее – Банк, ОГРН 1024400003209, ИНН 4405001070, адрес регистрации: 156000, г. Кострома, пр. Мира, д. 113, признано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(далее – Агентство).</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назначено на 15 июля 2019 года.</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Адрес для направления почтовой корреспонденции, в том числе требований кредиторов: 127055, г. Москва, ул. Лесная, д. 59, стр. 2.</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года № 127-ФЗ «О несостоятельности (банкротстве)» (далее – Федеральный закон) Агентство публикует сведения о ходе конкурсного производства Банка. Последняя информация о ходе конкурсного производства включена 12 августа 2018 года в Единый федеральный реестр сведений о банкротстве (далее – ЕФРСБ) и размещена на сайте Агентства в сети Интернет.</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В период с 13 июля по 30 ноября 2018 г. реализация и списание имущества Банка не проводились.</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Конкурсным управляющим Банка 12 октября 2018 года завершена инвентаризация имущества Банка по состоянию на дату открытия конкурсного производства (13 июля 2018 года), по результатам которой выявлена недостача в размере 133 894 тыс. руб. Также на балансе Банка отражено имущество (офисная мебель, оргтехника и прочее) в количестве 1 549 единиц на общую сумму 2 146 тыс. руб., неучтенное на балансовых счетах Банка. Сведения о результатах инвентаризации размещены 17 октября 2018 года в ЕФРСБ и на сайте Агентства в сети Интернет.</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Конкурсным управляющим осуществляются мероприятия по взысканию ссудной задолженности с должников Банка в судебном порядке. По состоянию на 1 декабря 2018 года в суды подано 93 иска на общую сумму 2 416 799 тыс. руб. (в том числе 53 иска на общую сумму 1 075 940 тыс. руб., поданные до начала открытия конкурсного производства), из которых удовлетворено 29 исков на общую сумму 273 042 тыс. руб., в том числе частично удовлетворено 4 иска на общую сумму 63 602 тыс. руб., 64 иска на общую сумму 2 115 968 тыс. руб. находятся на рассмотрении.</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На основании вступивших в законную силу судебных актов возбуждено 486 исполнительных производств на общую сумму 666 710 тыс. руб. (в том числе 414 исполнительных производств на общую сумму 328 556 тыс. руб., возбужденные до начала открытия конкурсного производства), из которых 9 на общую сумму 2 916 тыс. руб. прекращены и 165 на общую сумму 48 219 тыс. руб. окончены в соответствии с Федеральным законом от 2 октября 2007 года № 229-ФЗ «Об исполнительном производстве», в том числе 110 на сумму 25 568 тыс. руб. завершены актами о невозможности взыскания задолженности.</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lastRenderedPageBreak/>
        <w:t>По состоянию на 1 декабря 2018 года сделки, отвечающие в соответствии с Федеральным законом признакам недействительности, не выявлены.</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30 мая 2018 года временной администрацией по управлению Банком в СД МВД России направлено заявление по ст. 159, 160, 165, 196 и 201 УК РФ по фактам хищения имущества банка, путем выдачи кредитов юридическим лицам и преднамеренного банкротства.</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1 августа 2018 года Банком России в МВД и СК России направлено заявление по ст. 159, 160, 165, 196 и 201 УК РФ по фактам хищения имущества банка, путем выдачи кредитов юридическим лицам и преднамеренного банкротства.</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19 декабря 2018 года направлены запросы о предоставлении информации о результатах рассмотрения заявления Банка России.</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В настоящее время проводится проверка обстоятельств банкротства Банка.</w:t>
      </w:r>
    </w:p>
    <w:p w:rsidR="00F23256" w:rsidRPr="00F23256" w:rsidRDefault="00F23256" w:rsidP="00F23256">
      <w:pPr>
        <w:spacing w:after="0" w:line="240" w:lineRule="auto"/>
        <w:ind w:firstLine="709"/>
        <w:jc w:val="both"/>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color w:val="000000"/>
          <w:sz w:val="26"/>
          <w:szCs w:val="26"/>
          <w:lang w:eastAsia="ru-RU"/>
        </w:rPr>
        <w:t>В соответствии с требованиями п. 7 ст. 189.75 Федерального закона Агентство опубликовывает сведения о стоимости нереализованного имущества Банка и отчет об исполнении сметы текущих расходов.</w:t>
      </w:r>
    </w:p>
    <w:p w:rsidR="00F23256" w:rsidRDefault="00F23256" w:rsidP="00F23256">
      <w:pPr>
        <w:spacing w:after="0" w:line="240" w:lineRule="auto"/>
        <w:jc w:val="center"/>
        <w:rPr>
          <w:rFonts w:ascii="Times New Roman" w:eastAsia="Times New Roman" w:hAnsi="Times New Roman" w:cs="Times New Roman"/>
          <w:b/>
          <w:bCs/>
          <w:color w:val="000000"/>
          <w:sz w:val="26"/>
          <w:szCs w:val="26"/>
          <w:lang w:eastAsia="ru-RU"/>
        </w:rPr>
      </w:pPr>
    </w:p>
    <w:p w:rsidR="00F23256" w:rsidRPr="00F23256" w:rsidRDefault="00F23256" w:rsidP="00F23256">
      <w:pPr>
        <w:spacing w:after="0" w:line="240" w:lineRule="auto"/>
        <w:jc w:val="center"/>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b/>
          <w:bCs/>
          <w:color w:val="000000"/>
          <w:sz w:val="26"/>
          <w:szCs w:val="26"/>
          <w:lang w:eastAsia="ru-RU"/>
        </w:rPr>
        <w:t>Сведения о стоимости нереализованного имущества</w:t>
      </w:r>
      <w:r w:rsidRPr="00F23256">
        <w:rPr>
          <w:rFonts w:ascii="Times New Roman" w:eastAsia="Times New Roman" w:hAnsi="Times New Roman" w:cs="Times New Roman"/>
          <w:b/>
          <w:bCs/>
          <w:color w:val="000000"/>
          <w:sz w:val="26"/>
          <w:szCs w:val="26"/>
          <w:lang w:eastAsia="ru-RU"/>
        </w:rPr>
        <w:br/>
        <w:t>ООО КБ «Конфидэнс Банк» по состоянию на 1 декабря 2018 года</w:t>
      </w:r>
    </w:p>
    <w:p w:rsidR="00F23256" w:rsidRPr="00F23256" w:rsidRDefault="00F23256" w:rsidP="00F23256">
      <w:pPr>
        <w:spacing w:after="0" w:line="240" w:lineRule="auto"/>
        <w:jc w:val="right"/>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(тыс. руб.)</w:t>
      </w:r>
      <w:r w:rsidRPr="00F23256">
        <w:rPr>
          <w:rFonts w:ascii="Times New Roman" w:eastAsia="Times New Roman" w:hAnsi="Times New Roman" w:cs="Times New Roman"/>
          <w:b/>
          <w:bCs/>
          <w:color w:val="000000"/>
          <w:lang w:eastAsia="ru-RU"/>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10"/>
        <w:gridCol w:w="4910"/>
        <w:gridCol w:w="1996"/>
        <w:gridCol w:w="1999"/>
      </w:tblGrid>
      <w:tr w:rsidR="00F23256" w:rsidRPr="00F23256" w:rsidTr="00F23256">
        <w:trPr>
          <w:trHeight w:val="299"/>
          <w:tblCellSpacing w:w="20" w:type="dxa"/>
        </w:trPr>
        <w:tc>
          <w:tcPr>
            <w:tcW w:w="0" w:type="auto"/>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 п/п</w:t>
            </w:r>
          </w:p>
        </w:tc>
        <w:tc>
          <w:tcPr>
            <w:tcW w:w="0" w:type="auto"/>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Наименование имущества (дебитора)</w:t>
            </w:r>
          </w:p>
        </w:tc>
        <w:tc>
          <w:tcPr>
            <w:tcW w:w="0" w:type="auto"/>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Балансовая стоимость</w:t>
            </w:r>
          </w:p>
        </w:tc>
        <w:tc>
          <w:tcPr>
            <w:tcW w:w="0" w:type="auto"/>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Оценочная стоимость</w:t>
            </w:r>
          </w:p>
        </w:tc>
      </w:tr>
      <w:tr w:rsidR="00F23256" w:rsidRPr="00F23256" w:rsidTr="00F23256">
        <w:trPr>
          <w:trHeight w:val="299"/>
          <w:tblCellSpacing w:w="20" w:type="dxa"/>
        </w:trPr>
        <w:tc>
          <w:tcPr>
            <w:tcW w:w="0" w:type="auto"/>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0" w:type="auto"/>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0" w:type="auto"/>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0" w:type="auto"/>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r>
      <w:tr w:rsidR="00F23256" w:rsidRPr="00F23256" w:rsidTr="00F23256">
        <w:trPr>
          <w:tblCellSpacing w:w="20" w:type="dxa"/>
        </w:trPr>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2</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Ценные бумаги</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312 198</w:t>
            </w:r>
          </w:p>
        </w:tc>
        <w:tc>
          <w:tcPr>
            <w:tcW w:w="0" w:type="auto"/>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Оценка не проводилась</w:t>
            </w:r>
          </w:p>
        </w:tc>
      </w:tr>
      <w:tr w:rsidR="00F23256" w:rsidRPr="00F23256" w:rsidTr="00F23256">
        <w:trPr>
          <w:tblCellSpacing w:w="20" w:type="dxa"/>
        </w:trPr>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3</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Кредиты предприятиям и организациям</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2 645 589</w:t>
            </w:r>
          </w:p>
        </w:tc>
        <w:tc>
          <w:tcPr>
            <w:tcW w:w="0" w:type="auto"/>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r>
      <w:tr w:rsidR="00F23256" w:rsidRPr="00F23256" w:rsidTr="00F23256">
        <w:trPr>
          <w:tblCellSpacing w:w="20" w:type="dxa"/>
        </w:trPr>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4</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Кредиты физическим лицам</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1 053 854</w:t>
            </w:r>
          </w:p>
        </w:tc>
        <w:tc>
          <w:tcPr>
            <w:tcW w:w="0" w:type="auto"/>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r>
      <w:tr w:rsidR="00F23256" w:rsidRPr="00F23256" w:rsidTr="00F23256">
        <w:trPr>
          <w:tblCellSpacing w:w="20" w:type="dxa"/>
        </w:trPr>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5</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Основные средства и хозяйственные затраты (за исключением амортизации)</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45 644</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30 099</w:t>
            </w:r>
          </w:p>
        </w:tc>
      </w:tr>
      <w:tr w:rsidR="00F23256" w:rsidRPr="00F23256" w:rsidTr="00F23256">
        <w:trPr>
          <w:tblCellSpacing w:w="20" w:type="dxa"/>
        </w:trPr>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6</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Прочие активы</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86 145</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Оценка не проводилась</w:t>
            </w:r>
          </w:p>
        </w:tc>
      </w:tr>
      <w:tr w:rsidR="00F23256" w:rsidRPr="00F23256" w:rsidTr="00F23256">
        <w:trPr>
          <w:tblCellSpacing w:w="20" w:type="dxa"/>
        </w:trPr>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4 143 430</w:t>
            </w:r>
          </w:p>
        </w:tc>
        <w:tc>
          <w:tcPr>
            <w:tcW w:w="0" w:type="auto"/>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30 099</w:t>
            </w:r>
          </w:p>
        </w:tc>
      </w:tr>
    </w:tbl>
    <w:p w:rsidR="00F23256" w:rsidRDefault="00F23256" w:rsidP="00F23256">
      <w:pPr>
        <w:spacing w:after="0" w:line="240" w:lineRule="auto"/>
        <w:jc w:val="center"/>
        <w:rPr>
          <w:rFonts w:ascii="Times New Roman" w:eastAsia="Times New Roman" w:hAnsi="Times New Roman" w:cs="Times New Roman"/>
          <w:b/>
          <w:bCs/>
          <w:color w:val="000000"/>
          <w:sz w:val="26"/>
          <w:szCs w:val="26"/>
          <w:lang w:eastAsia="ru-RU"/>
        </w:rPr>
      </w:pPr>
    </w:p>
    <w:p w:rsidR="00F23256" w:rsidRPr="00F23256" w:rsidRDefault="00F23256" w:rsidP="00F23256">
      <w:pPr>
        <w:spacing w:after="0" w:line="240" w:lineRule="auto"/>
        <w:jc w:val="center"/>
        <w:rPr>
          <w:rFonts w:ascii="Times New Roman" w:eastAsia="Times New Roman" w:hAnsi="Times New Roman" w:cs="Times New Roman"/>
          <w:color w:val="000000"/>
          <w:sz w:val="26"/>
          <w:szCs w:val="26"/>
          <w:lang w:eastAsia="ru-RU"/>
        </w:rPr>
      </w:pPr>
      <w:r w:rsidRPr="00F23256">
        <w:rPr>
          <w:rFonts w:ascii="Times New Roman" w:eastAsia="Times New Roman" w:hAnsi="Times New Roman" w:cs="Times New Roman"/>
          <w:b/>
          <w:bCs/>
          <w:color w:val="000000"/>
          <w:sz w:val="26"/>
          <w:szCs w:val="26"/>
          <w:lang w:eastAsia="ru-RU"/>
        </w:rPr>
        <w:t>Отчет об исполнении сметы текущих расходов (затрат) на проведение конкурсного производства Банка за период с 13 июля по 30 ноября 2018 года</w:t>
      </w:r>
    </w:p>
    <w:p w:rsidR="00F23256" w:rsidRPr="00F23256" w:rsidRDefault="00F23256" w:rsidP="00F23256">
      <w:pPr>
        <w:spacing w:after="0" w:line="240" w:lineRule="auto"/>
        <w:jc w:val="right"/>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63"/>
        <w:gridCol w:w="4568"/>
        <w:gridCol w:w="1229"/>
        <w:gridCol w:w="1231"/>
        <w:gridCol w:w="1924"/>
      </w:tblGrid>
      <w:tr w:rsidR="00F23256" w:rsidRPr="00F23256" w:rsidTr="00F23256">
        <w:trPr>
          <w:trHeight w:val="299"/>
          <w:tblCellSpacing w:w="20" w:type="dxa"/>
        </w:trPr>
        <w:tc>
          <w:tcPr>
            <w:tcW w:w="314" w:type="pct"/>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 п/п</w:t>
            </w:r>
          </w:p>
        </w:tc>
        <w:tc>
          <w:tcPr>
            <w:tcW w:w="2355" w:type="pct"/>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Перечень расходов и затрат</w:t>
            </w:r>
          </w:p>
        </w:tc>
        <w:tc>
          <w:tcPr>
            <w:tcW w:w="618" w:type="pct"/>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План</w:t>
            </w:r>
          </w:p>
        </w:tc>
        <w:tc>
          <w:tcPr>
            <w:tcW w:w="619" w:type="pct"/>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Факт</w:t>
            </w:r>
          </w:p>
        </w:tc>
        <w:tc>
          <w:tcPr>
            <w:tcW w:w="969" w:type="pct"/>
            <w:vMerge w:val="restar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b/>
                <w:bCs/>
                <w:color w:val="000000"/>
                <w:lang w:eastAsia="ru-RU"/>
              </w:rPr>
              <w:t>Экономия (+)/ перерасход (-)</w:t>
            </w:r>
          </w:p>
        </w:tc>
      </w:tr>
      <w:tr w:rsidR="00F23256" w:rsidRPr="00F23256" w:rsidTr="00F23256">
        <w:trPr>
          <w:trHeight w:val="299"/>
          <w:tblCellSpacing w:w="20" w:type="dxa"/>
        </w:trPr>
        <w:tc>
          <w:tcPr>
            <w:tcW w:w="314" w:type="pct"/>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2355" w:type="pct"/>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618" w:type="pct"/>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619" w:type="pct"/>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969" w:type="pct"/>
            <w:vMerge/>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r>
      <w:tr w:rsidR="00F23256" w:rsidRPr="00F23256" w:rsidTr="00F23256">
        <w:trPr>
          <w:tblCellSpacing w:w="20" w:type="dxa"/>
        </w:trPr>
        <w:tc>
          <w:tcPr>
            <w:tcW w:w="314"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1</w:t>
            </w:r>
          </w:p>
        </w:tc>
        <w:tc>
          <w:tcPr>
            <w:tcW w:w="2355" w:type="pct"/>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Административно-хозяйственные расходы</w:t>
            </w:r>
          </w:p>
        </w:tc>
        <w:tc>
          <w:tcPr>
            <w:tcW w:w="618"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38 674</w:t>
            </w:r>
          </w:p>
        </w:tc>
        <w:tc>
          <w:tcPr>
            <w:tcW w:w="619"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11 358</w:t>
            </w:r>
          </w:p>
        </w:tc>
        <w:tc>
          <w:tcPr>
            <w:tcW w:w="969"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+ 27 316</w:t>
            </w:r>
          </w:p>
        </w:tc>
      </w:tr>
      <w:tr w:rsidR="00F23256" w:rsidRPr="00F23256" w:rsidTr="00F23256">
        <w:trPr>
          <w:tblCellSpacing w:w="20" w:type="dxa"/>
        </w:trPr>
        <w:tc>
          <w:tcPr>
            <w:tcW w:w="314"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2</w:t>
            </w:r>
          </w:p>
        </w:tc>
        <w:tc>
          <w:tcPr>
            <w:tcW w:w="2355" w:type="pct"/>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Расходы на содержание аппарата</w:t>
            </w:r>
          </w:p>
        </w:tc>
        <w:tc>
          <w:tcPr>
            <w:tcW w:w="618"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36 003</w:t>
            </w:r>
          </w:p>
        </w:tc>
        <w:tc>
          <w:tcPr>
            <w:tcW w:w="619"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13 705</w:t>
            </w:r>
          </w:p>
        </w:tc>
        <w:tc>
          <w:tcPr>
            <w:tcW w:w="969"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+ 22 298</w:t>
            </w:r>
          </w:p>
        </w:tc>
      </w:tr>
      <w:tr w:rsidR="00F23256" w:rsidRPr="00F23256" w:rsidTr="00F23256">
        <w:trPr>
          <w:tblCellSpacing w:w="20" w:type="dxa"/>
        </w:trPr>
        <w:tc>
          <w:tcPr>
            <w:tcW w:w="314"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p>
        </w:tc>
        <w:tc>
          <w:tcPr>
            <w:tcW w:w="2355" w:type="pct"/>
            <w:tcMar>
              <w:top w:w="75" w:type="dxa"/>
              <w:left w:w="75" w:type="dxa"/>
              <w:bottom w:w="75" w:type="dxa"/>
              <w:right w:w="75" w:type="dxa"/>
            </w:tcMar>
            <w:vAlign w:val="center"/>
            <w:hideMark/>
          </w:tcPr>
          <w:p w:rsidR="00F23256" w:rsidRPr="00F23256" w:rsidRDefault="00F23256" w:rsidP="00F2325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618"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74 677</w:t>
            </w:r>
          </w:p>
        </w:tc>
        <w:tc>
          <w:tcPr>
            <w:tcW w:w="619"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25 063</w:t>
            </w:r>
          </w:p>
        </w:tc>
        <w:tc>
          <w:tcPr>
            <w:tcW w:w="969" w:type="pct"/>
            <w:tcMar>
              <w:top w:w="75" w:type="dxa"/>
              <w:left w:w="75" w:type="dxa"/>
              <w:bottom w:w="75" w:type="dxa"/>
              <w:right w:w="75" w:type="dxa"/>
            </w:tcMar>
            <w:vAlign w:val="center"/>
            <w:hideMark/>
          </w:tcPr>
          <w:p w:rsidR="00F23256" w:rsidRPr="00F23256" w:rsidRDefault="00F23256" w:rsidP="00F23256">
            <w:pPr>
              <w:spacing w:after="0" w:line="240" w:lineRule="auto"/>
              <w:jc w:val="center"/>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+ 49 614*</w:t>
            </w:r>
          </w:p>
        </w:tc>
      </w:tr>
    </w:tbl>
    <w:p w:rsidR="00F23256" w:rsidRPr="00F23256" w:rsidRDefault="00F23256" w:rsidP="00F23256">
      <w:pPr>
        <w:spacing w:after="0" w:line="240" w:lineRule="auto"/>
        <w:jc w:val="both"/>
        <w:rPr>
          <w:rFonts w:ascii="Times New Roman" w:eastAsia="Times New Roman" w:hAnsi="Times New Roman" w:cs="Times New Roman"/>
          <w:color w:val="000000"/>
          <w:lang w:eastAsia="ru-RU"/>
        </w:rPr>
      </w:pPr>
      <w:r w:rsidRPr="00F23256">
        <w:rPr>
          <w:rFonts w:ascii="Times New Roman" w:eastAsia="Times New Roman" w:hAnsi="Times New Roman" w:cs="Times New Roman"/>
          <w:color w:val="000000"/>
          <w:lang w:eastAsia="ru-RU"/>
        </w:rPr>
        <w:t>Примечание: сведения представляются нарастающим итогом с даты начала открытия конкурсного производства по отчетную дату.</w:t>
      </w:r>
    </w:p>
    <w:p w:rsidR="00896C83" w:rsidRPr="00F23256" w:rsidRDefault="00F23256" w:rsidP="00F23256">
      <w:pPr>
        <w:spacing w:after="0" w:line="240" w:lineRule="auto"/>
        <w:jc w:val="both"/>
        <w:rPr>
          <w:rFonts w:ascii="Times New Roman" w:hAnsi="Times New Roman" w:cs="Times New Roman"/>
        </w:rPr>
      </w:pPr>
      <w:r w:rsidRPr="00F23256">
        <w:rPr>
          <w:rFonts w:ascii="Times New Roman" w:eastAsia="Times New Roman" w:hAnsi="Times New Roman" w:cs="Times New Roman"/>
          <w:color w:val="000000"/>
          <w:lang w:eastAsia="ru-RU"/>
        </w:rPr>
        <w:t>*Экономия обусловлена переносом планируемых расходов, непроизведенных в период действия смет, в сметы следующего квартала, по причине несвоевременного предоставления контрагентами первичных документов, подтверждающих факт оказания услуг и несвоевременного обращения уволенных работников за пособиями, предусмотренными законодательством.</w:t>
      </w:r>
    </w:p>
    <w:sectPr w:rsidR="00896C83" w:rsidRPr="00F23256" w:rsidSect="00F23256">
      <w:foot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4C" w:rsidRDefault="0021734C" w:rsidP="00F23256">
      <w:pPr>
        <w:spacing w:after="0" w:line="240" w:lineRule="auto"/>
      </w:pPr>
      <w:r>
        <w:separator/>
      </w:r>
    </w:p>
  </w:endnote>
  <w:endnote w:type="continuationSeparator" w:id="0">
    <w:p w:rsidR="0021734C" w:rsidRDefault="0021734C" w:rsidP="00F2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990451"/>
      <w:docPartObj>
        <w:docPartGallery w:val="Page Numbers (Bottom of Page)"/>
        <w:docPartUnique/>
      </w:docPartObj>
    </w:sdtPr>
    <w:sdtContent>
      <w:p w:rsidR="00F23256" w:rsidRDefault="00F23256">
        <w:pPr>
          <w:pStyle w:val="a6"/>
          <w:jc w:val="right"/>
        </w:pPr>
        <w:r>
          <w:fldChar w:fldCharType="begin"/>
        </w:r>
        <w:r>
          <w:instrText>PAGE   \* MERGEFORMAT</w:instrText>
        </w:r>
        <w:r>
          <w:fldChar w:fldCharType="separate"/>
        </w:r>
        <w:r>
          <w:rPr>
            <w:noProof/>
          </w:rPr>
          <w:t>2</w:t>
        </w:r>
        <w:r>
          <w:fldChar w:fldCharType="end"/>
        </w:r>
      </w:p>
    </w:sdtContent>
  </w:sdt>
  <w:p w:rsidR="00F23256" w:rsidRDefault="00F232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4C" w:rsidRDefault="0021734C" w:rsidP="00F23256">
      <w:pPr>
        <w:spacing w:after="0" w:line="240" w:lineRule="auto"/>
      </w:pPr>
      <w:r>
        <w:separator/>
      </w:r>
    </w:p>
  </w:footnote>
  <w:footnote w:type="continuationSeparator" w:id="0">
    <w:p w:rsidR="0021734C" w:rsidRDefault="0021734C" w:rsidP="00F23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56"/>
    <w:rsid w:val="0021734C"/>
    <w:rsid w:val="00896C83"/>
    <w:rsid w:val="00F2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3256"/>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256"/>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F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F23256"/>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F232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3256"/>
  </w:style>
  <w:style w:type="paragraph" w:styleId="a6">
    <w:name w:val="footer"/>
    <w:basedOn w:val="a"/>
    <w:link w:val="a7"/>
    <w:uiPriority w:val="99"/>
    <w:unhideWhenUsed/>
    <w:rsid w:val="00F232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3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3256"/>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256"/>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F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F23256"/>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F232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3256"/>
  </w:style>
  <w:style w:type="paragraph" w:styleId="a6">
    <w:name w:val="footer"/>
    <w:basedOn w:val="a"/>
    <w:link w:val="a7"/>
    <w:uiPriority w:val="99"/>
    <w:unhideWhenUsed/>
    <w:rsid w:val="00F232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20494">
      <w:bodyDiv w:val="1"/>
      <w:marLeft w:val="0"/>
      <w:marRight w:val="0"/>
      <w:marTop w:val="0"/>
      <w:marBottom w:val="0"/>
      <w:divBdr>
        <w:top w:val="none" w:sz="0" w:space="0" w:color="auto"/>
        <w:left w:val="none" w:sz="0" w:space="0" w:color="auto"/>
        <w:bottom w:val="none" w:sz="0" w:space="0" w:color="auto"/>
        <w:right w:val="none" w:sz="0" w:space="0" w:color="auto"/>
      </w:divBdr>
      <w:divsChild>
        <w:div w:id="848712789">
          <w:marLeft w:val="0"/>
          <w:marRight w:val="0"/>
          <w:marTop w:val="0"/>
          <w:marBottom w:val="0"/>
          <w:divBdr>
            <w:top w:val="none" w:sz="0" w:space="0" w:color="auto"/>
            <w:left w:val="none" w:sz="0" w:space="0" w:color="auto"/>
            <w:bottom w:val="none" w:sz="0" w:space="0" w:color="auto"/>
            <w:right w:val="none" w:sz="0" w:space="0" w:color="auto"/>
          </w:divBdr>
          <w:divsChild>
            <w:div w:id="1675960347">
              <w:marLeft w:val="0"/>
              <w:marRight w:val="0"/>
              <w:marTop w:val="0"/>
              <w:marBottom w:val="0"/>
              <w:divBdr>
                <w:top w:val="single" w:sz="24" w:space="8" w:color="486BAD"/>
                <w:left w:val="single" w:sz="24" w:space="8" w:color="486BAD"/>
                <w:bottom w:val="single" w:sz="24" w:space="0" w:color="486BAD"/>
                <w:right w:val="single" w:sz="24" w:space="8" w:color="486BAD"/>
              </w:divBdr>
              <w:divsChild>
                <w:div w:id="234585399">
                  <w:marLeft w:val="1"/>
                  <w:marRight w:val="1"/>
                  <w:marTop w:val="0"/>
                  <w:marBottom w:val="750"/>
                  <w:divBdr>
                    <w:top w:val="none" w:sz="0" w:space="0" w:color="auto"/>
                    <w:left w:val="none" w:sz="0" w:space="0" w:color="auto"/>
                    <w:bottom w:val="none" w:sz="0" w:space="0" w:color="auto"/>
                    <w:right w:val="none" w:sz="0" w:space="0" w:color="auto"/>
                  </w:divBdr>
                  <w:divsChild>
                    <w:div w:id="12497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2019-02-05T07:06:00Z</dcterms:created>
  <dcterms:modified xsi:type="dcterms:W3CDTF">2019-02-05T07:11:00Z</dcterms:modified>
</cp:coreProperties>
</file>